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8AFFD" w14:textId="77777777" w:rsidR="00E45E94" w:rsidRPr="0098378B" w:rsidRDefault="00176074">
      <w:pPr>
        <w:rPr>
          <w:b/>
        </w:rPr>
      </w:pPr>
      <w:r w:rsidRPr="0098378B">
        <w:rPr>
          <w:b/>
        </w:rPr>
        <w:t>Magnolia PUD</w:t>
      </w:r>
    </w:p>
    <w:p w14:paraId="7A145912" w14:textId="7834E1A9" w:rsidR="0098378B" w:rsidRPr="0098378B" w:rsidRDefault="0000041A">
      <w:pPr>
        <w:rPr>
          <w:b/>
        </w:rPr>
      </w:pPr>
      <w:r>
        <w:rPr>
          <w:b/>
        </w:rPr>
        <w:t xml:space="preserve">Draft </w:t>
      </w:r>
      <w:r w:rsidR="0098378B" w:rsidRPr="0098378B">
        <w:rPr>
          <w:b/>
        </w:rPr>
        <w:t>P</w:t>
      </w:r>
      <w:r w:rsidR="00117EBB">
        <w:rPr>
          <w:b/>
        </w:rPr>
        <w:t xml:space="preserve">erry </w:t>
      </w:r>
      <w:r w:rsidR="0098378B" w:rsidRPr="0098378B">
        <w:rPr>
          <w:b/>
        </w:rPr>
        <w:t>H</w:t>
      </w:r>
      <w:r w:rsidR="00117EBB">
        <w:rPr>
          <w:b/>
        </w:rPr>
        <w:t xml:space="preserve">all </w:t>
      </w:r>
      <w:r w:rsidR="0098378B" w:rsidRPr="0098378B">
        <w:rPr>
          <w:b/>
        </w:rPr>
        <w:t>I</w:t>
      </w:r>
      <w:r w:rsidR="00117EBB">
        <w:rPr>
          <w:b/>
        </w:rPr>
        <w:t xml:space="preserve">mprovement </w:t>
      </w:r>
      <w:r w:rsidR="0098378B" w:rsidRPr="0098378B">
        <w:rPr>
          <w:b/>
        </w:rPr>
        <w:t>A</w:t>
      </w:r>
      <w:r w:rsidR="00117EBB">
        <w:rPr>
          <w:b/>
        </w:rPr>
        <w:t>ssociation</w:t>
      </w:r>
      <w:r w:rsidR="0098378B" w:rsidRPr="0098378B">
        <w:rPr>
          <w:b/>
        </w:rPr>
        <w:t xml:space="preserve"> Response</w:t>
      </w:r>
    </w:p>
    <w:p w14:paraId="79A9F169" w14:textId="60A5DFB9" w:rsidR="0098378B" w:rsidRPr="00A6403A" w:rsidRDefault="00117EBB">
      <w:pPr>
        <w:rPr>
          <w:b/>
        </w:rPr>
      </w:pPr>
      <w:r>
        <w:rPr>
          <w:b/>
        </w:rPr>
        <w:t xml:space="preserve">Revised </w:t>
      </w:r>
      <w:r w:rsidR="00726386" w:rsidRPr="00A6403A">
        <w:rPr>
          <w:b/>
        </w:rPr>
        <w:t xml:space="preserve">June </w:t>
      </w:r>
      <w:r>
        <w:rPr>
          <w:b/>
        </w:rPr>
        <w:t>10</w:t>
      </w:r>
      <w:r w:rsidR="00726386" w:rsidRPr="00A6403A">
        <w:rPr>
          <w:b/>
        </w:rPr>
        <w:t>, 2020</w:t>
      </w:r>
      <w:bookmarkStart w:id="0" w:name="_GoBack"/>
      <w:bookmarkEnd w:id="0"/>
    </w:p>
    <w:p w14:paraId="562261E7" w14:textId="0012CB8A" w:rsidR="00A51104" w:rsidRDefault="00A51104">
      <w:pPr>
        <w:rPr>
          <w:b/>
        </w:rPr>
      </w:pPr>
    </w:p>
    <w:p w14:paraId="6C1720D5" w14:textId="02160CE6" w:rsidR="00A51104" w:rsidRDefault="00A51104">
      <w:r>
        <w:rPr>
          <w:b/>
        </w:rPr>
        <w:t xml:space="preserve">Introduction – </w:t>
      </w:r>
      <w:r>
        <w:t xml:space="preserve">On March 31, 2020 the law firm of Smith, Gildea &amp; Schmidt </w:t>
      </w:r>
      <w:r w:rsidR="00726386">
        <w:t>submitted</w:t>
      </w:r>
      <w:r>
        <w:t xml:space="preserve"> an application to the Baltimore County Council for </w:t>
      </w:r>
      <w:r w:rsidR="00FC4721">
        <w:t xml:space="preserve">a </w:t>
      </w:r>
      <w:proofErr w:type="gramStart"/>
      <w:r>
        <w:t>62 townhouse</w:t>
      </w:r>
      <w:proofErr w:type="gramEnd"/>
      <w:r>
        <w:t xml:space="preserve"> project known as Magnolia.</w:t>
      </w:r>
    </w:p>
    <w:p w14:paraId="182036D2" w14:textId="5DBF66A4" w:rsidR="00A51104" w:rsidRDefault="00A51104">
      <w:r>
        <w:t>The Magnolia PUD is located directly across the street from Joppa View Elementary School</w:t>
      </w:r>
      <w:r w:rsidR="0014080F">
        <w:t xml:space="preserve"> on Honeygo Boulevard</w:t>
      </w:r>
      <w:r w:rsidR="00726386">
        <w:t xml:space="preserve"> within the Perry Hall community</w:t>
      </w:r>
      <w:r>
        <w:t>.</w:t>
      </w:r>
    </w:p>
    <w:p w14:paraId="05C3C810" w14:textId="63F27090" w:rsidR="00A51104" w:rsidRDefault="00A51104"/>
    <w:p w14:paraId="66D525B8" w14:textId="7D6BC8B5" w:rsidR="00A51104" w:rsidRDefault="00A51104">
      <w:r w:rsidRPr="00A51104">
        <w:rPr>
          <w:noProof/>
        </w:rPr>
        <w:drawing>
          <wp:inline distT="0" distB="0" distL="0" distR="0" wp14:anchorId="2AFFB66D" wp14:editId="0FB86988">
            <wp:extent cx="4356847" cy="2980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6947" cy="3028289"/>
                    </a:xfrm>
                    <a:prstGeom prst="rect">
                      <a:avLst/>
                    </a:prstGeom>
                  </pic:spPr>
                </pic:pic>
              </a:graphicData>
            </a:graphic>
          </wp:inline>
        </w:drawing>
      </w:r>
    </w:p>
    <w:p w14:paraId="7E72476C" w14:textId="7AC6F2E6" w:rsidR="00A51104" w:rsidRDefault="00A51104"/>
    <w:p w14:paraId="05AA40C5" w14:textId="3CA5735F" w:rsidR="00A51104" w:rsidRDefault="00A51104">
      <w:r>
        <w:t>The Magnolia PUD is located on approximately 10 acres. The development proposal is to construct 62 townhomes.</w:t>
      </w:r>
    </w:p>
    <w:p w14:paraId="3247E1D9" w14:textId="0AB00F9C" w:rsidR="00A51104" w:rsidRDefault="00A51104"/>
    <w:p w14:paraId="1F539BFB" w14:textId="37405E10" w:rsidR="00A51104" w:rsidRDefault="00A51104">
      <w:r w:rsidRPr="00A51104">
        <w:rPr>
          <w:noProof/>
        </w:rPr>
        <w:drawing>
          <wp:inline distT="0" distB="0" distL="0" distR="0" wp14:anchorId="3B654B94" wp14:editId="080615D3">
            <wp:extent cx="3859306" cy="28074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1236" cy="2896179"/>
                    </a:xfrm>
                    <a:prstGeom prst="rect">
                      <a:avLst/>
                    </a:prstGeom>
                  </pic:spPr>
                </pic:pic>
              </a:graphicData>
            </a:graphic>
          </wp:inline>
        </w:drawing>
      </w:r>
    </w:p>
    <w:p w14:paraId="132F9EE3" w14:textId="6460C12B" w:rsidR="00A51104" w:rsidRDefault="00A51104"/>
    <w:p w14:paraId="33BA553D" w14:textId="7B61F6CF" w:rsidR="00FC4721" w:rsidRDefault="00A51104">
      <w:r>
        <w:t xml:space="preserve">The zoning on the property is DR 1 which at 10 acres would allow </w:t>
      </w:r>
      <w:r w:rsidR="000F4DC2">
        <w:t xml:space="preserve">for </w:t>
      </w:r>
      <w:r>
        <w:t>10 single-family detached homes</w:t>
      </w:r>
      <w:r w:rsidR="00726386">
        <w:t xml:space="preserve"> by right</w:t>
      </w:r>
      <w:r>
        <w:t xml:space="preserve">. Access to the development would intersect </w:t>
      </w:r>
      <w:r w:rsidR="000F4DC2">
        <w:t xml:space="preserve">with </w:t>
      </w:r>
      <w:r>
        <w:t xml:space="preserve">the </w:t>
      </w:r>
      <w:r w:rsidR="00FC4721">
        <w:t>lower (main) entrance to Joppa View</w:t>
      </w:r>
      <w:r w:rsidR="00726386">
        <w:t xml:space="preserve"> </w:t>
      </w:r>
      <w:r w:rsidR="00FC4721">
        <w:t>Elementary School. The development would require a Planned Unit Development approval because it exceeds the zoning on the property.</w:t>
      </w:r>
      <w:r w:rsidR="00EA3A5C">
        <w:t xml:space="preserve"> </w:t>
      </w:r>
    </w:p>
    <w:p w14:paraId="4F0DF1B2" w14:textId="77777777" w:rsidR="00FC4721" w:rsidRDefault="00FC4721"/>
    <w:p w14:paraId="2A49ABFD" w14:textId="21A0ECAD" w:rsidR="00FC4721" w:rsidRPr="00A51104" w:rsidRDefault="00FC4721">
      <w:r>
        <w:t xml:space="preserve">The Perry Hall Improvement Association Board </w:t>
      </w:r>
      <w:r w:rsidR="000F4DC2">
        <w:t xml:space="preserve">(PHIA) </w:t>
      </w:r>
      <w:r>
        <w:t xml:space="preserve">has undertaken a preliminary review of the proposal and provides the following comments. </w:t>
      </w:r>
    </w:p>
    <w:p w14:paraId="079F3C50" w14:textId="77777777" w:rsidR="00176074" w:rsidRDefault="00176074"/>
    <w:p w14:paraId="02D98396" w14:textId="4888E480" w:rsidR="0098378B" w:rsidRDefault="00176074">
      <w:r w:rsidRPr="0098378B">
        <w:rPr>
          <w:b/>
        </w:rPr>
        <w:t xml:space="preserve">Summary </w:t>
      </w:r>
      <w:r>
        <w:t>– At this point in time</w:t>
      </w:r>
      <w:r w:rsidR="003B5B87">
        <w:t>,</w:t>
      </w:r>
      <w:r>
        <w:t xml:space="preserve"> it </w:t>
      </w:r>
      <w:r w:rsidR="000F4DC2">
        <w:t xml:space="preserve">is the opinion of the PHIA that it </w:t>
      </w:r>
      <w:r>
        <w:t xml:space="preserve">would </w:t>
      </w:r>
      <w:r w:rsidR="003B5B87" w:rsidRPr="002726DC">
        <w:t>be</w:t>
      </w:r>
      <w:r w:rsidR="0098378B">
        <w:t xml:space="preserve"> </w:t>
      </w:r>
      <w:r>
        <w:t>fiscally irresponsible to support anything other than what the current zoning (DR 1 @ 10 acres = 10 dwelling units)</w:t>
      </w:r>
      <w:r w:rsidR="00124152">
        <w:t xml:space="preserve"> would allow by right</w:t>
      </w:r>
      <w:r w:rsidR="0098378B">
        <w:t xml:space="preserve"> on the PUD Magnolia project.</w:t>
      </w:r>
      <w:r>
        <w:t xml:space="preserve"> </w:t>
      </w:r>
      <w:r w:rsidR="00124152">
        <w:t xml:space="preserve">This Magnolia PUD should NOT be allowed to proceed at any </w:t>
      </w:r>
      <w:r w:rsidR="0098378B">
        <w:t>density other than what is permitted by right</w:t>
      </w:r>
      <w:r w:rsidR="00124152">
        <w:t xml:space="preserve">. </w:t>
      </w:r>
    </w:p>
    <w:p w14:paraId="6D99BFA5" w14:textId="77777777" w:rsidR="0098378B" w:rsidRDefault="0098378B"/>
    <w:p w14:paraId="3E5A18F3" w14:textId="79A828D4" w:rsidR="008E6BDB" w:rsidRDefault="00176074">
      <w:r>
        <w:t xml:space="preserve">The </w:t>
      </w:r>
      <w:r w:rsidR="00124152">
        <w:t xml:space="preserve">Perry Hall Improvement Association </w:t>
      </w:r>
      <w:r>
        <w:t>decision</w:t>
      </w:r>
      <w:r w:rsidR="0098378B">
        <w:t xml:space="preserve"> not </w:t>
      </w:r>
      <w:r w:rsidR="00726386">
        <w:t xml:space="preserve">to </w:t>
      </w:r>
      <w:r w:rsidR="0098378B">
        <w:t xml:space="preserve">support the Magnolia PUD </w:t>
      </w:r>
      <w:r w:rsidR="008E6BDB">
        <w:t xml:space="preserve">is based upon the </w:t>
      </w:r>
      <w:r w:rsidR="000F4DC2">
        <w:t>existing school overcrowding and community</w:t>
      </w:r>
      <w:r w:rsidR="008E6BDB">
        <w:t xml:space="preserve"> factors. </w:t>
      </w:r>
    </w:p>
    <w:p w14:paraId="217C045C" w14:textId="77777777" w:rsidR="00176074" w:rsidRDefault="00176074"/>
    <w:p w14:paraId="2DC00E59" w14:textId="3D4E2552" w:rsidR="00176074" w:rsidRDefault="00176074" w:rsidP="00176074">
      <w:pPr>
        <w:pStyle w:val="ListParagraph"/>
        <w:numPr>
          <w:ilvl w:val="0"/>
          <w:numId w:val="1"/>
        </w:numPr>
      </w:pPr>
      <w:r>
        <w:t xml:space="preserve">Existing School Overcrowding </w:t>
      </w:r>
      <w:r w:rsidR="0098378B">
        <w:t>– As</w:t>
      </w:r>
      <w:r w:rsidR="008E6BDB">
        <w:t xml:space="preserve"> more fully described within this document</w:t>
      </w:r>
      <w:r w:rsidR="003B5B87">
        <w:t xml:space="preserve">, </w:t>
      </w:r>
      <w:r w:rsidR="008E6BDB">
        <w:t xml:space="preserve">all of the elementary schools within the cluster area are between 101.57% to 120.5% </w:t>
      </w:r>
      <w:r w:rsidR="0098378B">
        <w:t>capacity</w:t>
      </w:r>
      <w:r w:rsidR="008E6BDB">
        <w:t xml:space="preserve">. </w:t>
      </w:r>
    </w:p>
    <w:p w14:paraId="3BF32667" w14:textId="38E582C9" w:rsidR="008E6BDB" w:rsidRDefault="008E6BDB" w:rsidP="008E6BDB">
      <w:pPr>
        <w:ind w:left="360"/>
      </w:pPr>
      <w:r>
        <w:t xml:space="preserve">All but one elementary </w:t>
      </w:r>
      <w:r w:rsidR="0098378B">
        <w:t>school</w:t>
      </w:r>
      <w:r>
        <w:t xml:space="preserve"> has between 1 to 8 relocatable</w:t>
      </w:r>
      <w:r w:rsidR="000F4DC2">
        <w:t xml:space="preserve"> temporary classrooms</w:t>
      </w:r>
      <w:r>
        <w:t xml:space="preserve"> on site. The average number of relocatable</w:t>
      </w:r>
      <w:r w:rsidR="000F4DC2">
        <w:t xml:space="preserve"> classrooms</w:t>
      </w:r>
      <w:r>
        <w:t xml:space="preserve"> per school is 4.5. </w:t>
      </w:r>
    </w:p>
    <w:p w14:paraId="7A150E7D" w14:textId="77777777" w:rsidR="00124152" w:rsidRDefault="00124152" w:rsidP="008E6BDB">
      <w:pPr>
        <w:ind w:left="360"/>
      </w:pPr>
    </w:p>
    <w:p w14:paraId="14D9BFC8" w14:textId="1A6310FA" w:rsidR="008E6BDB" w:rsidRDefault="008E6BDB" w:rsidP="008E6BDB">
      <w:pPr>
        <w:ind w:left="360"/>
      </w:pPr>
      <w:r>
        <w:t xml:space="preserve">Perry Hall Middle School is </w:t>
      </w:r>
      <w:r w:rsidR="000F4DC2">
        <w:t xml:space="preserve">currently </w:t>
      </w:r>
      <w:r>
        <w:t xml:space="preserve">at 117.06% capacity with 232 students over the State Rated Capacity. </w:t>
      </w:r>
    </w:p>
    <w:p w14:paraId="009F2491" w14:textId="77777777" w:rsidR="00FD35E8" w:rsidRDefault="00FD35E8" w:rsidP="008E6BDB">
      <w:pPr>
        <w:ind w:left="360"/>
      </w:pPr>
    </w:p>
    <w:p w14:paraId="744A7809" w14:textId="19989AA0" w:rsidR="00176074" w:rsidRDefault="008E6BDB" w:rsidP="008E6BDB">
      <w:pPr>
        <w:ind w:left="360"/>
      </w:pPr>
      <w:r>
        <w:t>No development should be approved until th</w:t>
      </w:r>
      <w:r w:rsidR="00FD35E8">
        <w:t>e school overcrowding</w:t>
      </w:r>
      <w:r>
        <w:t xml:space="preserve"> issue</w:t>
      </w:r>
      <w:r w:rsidR="00FD35E8">
        <w:t>s</w:t>
      </w:r>
      <w:r>
        <w:t xml:space="preserve"> </w:t>
      </w:r>
      <w:r w:rsidR="00FD35E8">
        <w:t>are</w:t>
      </w:r>
      <w:r>
        <w:t xml:space="preserve"> addresse</w:t>
      </w:r>
      <w:r w:rsidR="00FD35E8">
        <w:t xml:space="preserve">d </w:t>
      </w:r>
      <w:r>
        <w:t>(</w:t>
      </w:r>
      <w:r w:rsidR="00726386">
        <w:t xml:space="preserve">being addressed to mean </w:t>
      </w:r>
      <w:r>
        <w:t xml:space="preserve">schools </w:t>
      </w:r>
      <w:r w:rsidR="000F4DC2">
        <w:t xml:space="preserve">are </w:t>
      </w:r>
      <w:r w:rsidR="00726386">
        <w:t xml:space="preserve">funded and </w:t>
      </w:r>
      <w:r>
        <w:t xml:space="preserve">under construction). </w:t>
      </w:r>
    </w:p>
    <w:p w14:paraId="67EBD54C" w14:textId="77777777" w:rsidR="008E6BDB" w:rsidRDefault="008E6BDB" w:rsidP="008E6BDB">
      <w:pPr>
        <w:ind w:left="360"/>
      </w:pPr>
    </w:p>
    <w:p w14:paraId="5D62BCDE" w14:textId="3CF33F79" w:rsidR="00124152" w:rsidRDefault="00176074" w:rsidP="00124152">
      <w:pPr>
        <w:pStyle w:val="ListParagraph"/>
        <w:numPr>
          <w:ilvl w:val="0"/>
          <w:numId w:val="1"/>
        </w:numPr>
      </w:pPr>
      <w:r>
        <w:t xml:space="preserve">COVID19 </w:t>
      </w:r>
      <w:r w:rsidR="008E6BDB">
        <w:t>–</w:t>
      </w:r>
      <w:r>
        <w:t xml:space="preserve"> </w:t>
      </w:r>
      <w:r w:rsidR="008E6BDB">
        <w:t>The effect that COVID19 will have on schools cannot be</w:t>
      </w:r>
      <w:r w:rsidR="003B5B87">
        <w:t xml:space="preserve"> ignored. A</w:t>
      </w:r>
      <w:r w:rsidR="000F4DC2">
        <w:t>nd a</w:t>
      </w:r>
      <w:r w:rsidR="003B5B87">
        <w:t xml:space="preserve">t this point in time </w:t>
      </w:r>
      <w:r w:rsidR="00726386">
        <w:t xml:space="preserve">and </w:t>
      </w:r>
      <w:r w:rsidR="008E6BDB">
        <w:t>until a vaccine is available</w:t>
      </w:r>
      <w:r w:rsidR="00726386">
        <w:t>,</w:t>
      </w:r>
      <w:r w:rsidR="008E6BDB">
        <w:t xml:space="preserve"> all schools</w:t>
      </w:r>
      <w:r w:rsidR="000F4DC2">
        <w:t xml:space="preserve"> could potentially</w:t>
      </w:r>
      <w:r w:rsidR="008E6BDB">
        <w:t xml:space="preserve"> have </w:t>
      </w:r>
      <w:r w:rsidR="000F4DC2">
        <w:t>severely</w:t>
      </w:r>
      <w:r w:rsidR="008E6BDB">
        <w:t xml:space="preserve"> reduced </w:t>
      </w:r>
      <w:r w:rsidR="000F4DC2">
        <w:t xml:space="preserve">student </w:t>
      </w:r>
      <w:r w:rsidR="008E6BDB">
        <w:t>capacities</w:t>
      </w:r>
      <w:r w:rsidR="00124152">
        <w:t>. The Baltimore County Public Schools do</w:t>
      </w:r>
      <w:r w:rsidR="00726386">
        <w:t>es</w:t>
      </w:r>
      <w:r w:rsidR="00124152">
        <w:t xml:space="preserve"> not as of yet have a firm plan for school reopening. Solutions that </w:t>
      </w:r>
      <w:r w:rsidR="003B5B87" w:rsidRPr="002726DC">
        <w:t>have</w:t>
      </w:r>
      <w:r w:rsidR="003B5B87">
        <w:t xml:space="preserve"> </w:t>
      </w:r>
      <w:r w:rsidR="00124152">
        <w:t xml:space="preserve">been discussed (Baltimore Sun, 5/27/2020, Liz Bowie) include </w:t>
      </w:r>
      <w:r w:rsidR="00726386">
        <w:t xml:space="preserve">- </w:t>
      </w:r>
      <w:r w:rsidR="00124152">
        <w:t>spacing desks,</w:t>
      </w:r>
      <w:r w:rsidR="003B5B87">
        <w:t xml:space="preserve"> </w:t>
      </w:r>
      <w:r w:rsidR="00124152">
        <w:t>alternat</w:t>
      </w:r>
      <w:r w:rsidR="00726386">
        <w:t>ing</w:t>
      </w:r>
      <w:r w:rsidR="00124152">
        <w:t xml:space="preserve"> schedules</w:t>
      </w:r>
      <w:r w:rsidR="00FD35E8">
        <w:t xml:space="preserve"> etc</w:t>
      </w:r>
      <w:r w:rsidR="00124152">
        <w:t xml:space="preserve">. Clearly, if schools can not handle existing capacities how will they be able to handle </w:t>
      </w:r>
      <w:r w:rsidR="00FD35E8">
        <w:t xml:space="preserve">capacities at </w:t>
      </w:r>
      <w:r w:rsidR="00124152">
        <w:t xml:space="preserve">½ or 1/3 reduced class sizes. </w:t>
      </w:r>
    </w:p>
    <w:p w14:paraId="2FF47EF2" w14:textId="77777777" w:rsidR="00124152" w:rsidRDefault="00124152" w:rsidP="00124152">
      <w:pPr>
        <w:pStyle w:val="ListParagraph"/>
        <w:ind w:left="360"/>
      </w:pPr>
    </w:p>
    <w:p w14:paraId="51B6CBC6" w14:textId="4C0AAC7B" w:rsidR="00124152" w:rsidRDefault="00124152" w:rsidP="00124152">
      <w:pPr>
        <w:pStyle w:val="ListParagraph"/>
        <w:ind w:left="360"/>
      </w:pPr>
      <w:r>
        <w:t xml:space="preserve">No development should even be considered until the full impact of school reopening is made </w:t>
      </w:r>
      <w:r w:rsidRPr="000F4DC2">
        <w:rPr>
          <w:color w:val="000000" w:themeColor="text1"/>
        </w:rPr>
        <w:t>available</w:t>
      </w:r>
      <w:r w:rsidR="000F4DC2" w:rsidRPr="000F4DC2">
        <w:rPr>
          <w:color w:val="000000" w:themeColor="text1"/>
        </w:rPr>
        <w:t xml:space="preserve"> </w:t>
      </w:r>
      <w:r w:rsidR="000F4DC2" w:rsidRPr="000F4DC2">
        <w:rPr>
          <w:rFonts w:ascii="Calibri" w:hAnsi="Calibri" w:cs="Calibri"/>
          <w:color w:val="000000" w:themeColor="text1"/>
        </w:rPr>
        <w:t>and fully implemented so a comprehensive assessment can be addressed on the reopening of schools</w:t>
      </w:r>
      <w:r>
        <w:t xml:space="preserve">. In fact, the PHIA would support a temporary school moratorium until this can be addressed. </w:t>
      </w:r>
    </w:p>
    <w:p w14:paraId="6CB45E2B" w14:textId="77777777" w:rsidR="00176074" w:rsidRDefault="00176074" w:rsidP="00176074"/>
    <w:p w14:paraId="5E8D7F65" w14:textId="64123D79" w:rsidR="00176074" w:rsidRDefault="00176074" w:rsidP="00176074">
      <w:pPr>
        <w:pStyle w:val="ListParagraph"/>
        <w:numPr>
          <w:ilvl w:val="0"/>
          <w:numId w:val="1"/>
        </w:numPr>
      </w:pPr>
      <w:r>
        <w:t xml:space="preserve">Zoning </w:t>
      </w:r>
      <w:r w:rsidR="00BB5DE8">
        <w:t>–</w:t>
      </w:r>
      <w:r>
        <w:t xml:space="preserve"> </w:t>
      </w:r>
      <w:r w:rsidR="00BB5DE8">
        <w:t xml:space="preserve">The surrounding community area is now largely developed. Between 1971 and 1996 when the area was designated as a </w:t>
      </w:r>
      <w:r w:rsidR="00FD35E8">
        <w:t>G</w:t>
      </w:r>
      <w:r w:rsidR="00BB5DE8">
        <w:t xml:space="preserve">rowth </w:t>
      </w:r>
      <w:r w:rsidR="00FD35E8">
        <w:t>A</w:t>
      </w:r>
      <w:r w:rsidR="00BB5DE8">
        <w:t>rea</w:t>
      </w:r>
      <w:r w:rsidR="00FD35E8">
        <w:t>,</w:t>
      </w:r>
      <w:r w:rsidR="00BB5DE8">
        <w:t xml:space="preserve"> the zoning </w:t>
      </w:r>
      <w:r w:rsidR="00FD35E8">
        <w:t xml:space="preserve">for this site </w:t>
      </w:r>
      <w:r w:rsidR="000F4DC2">
        <w:t xml:space="preserve">at that time </w:t>
      </w:r>
      <w:r w:rsidR="00BB5DE8">
        <w:t xml:space="preserve">was DR 5.5. Between 2000 and 2008 when the area was still designated as a growth area </w:t>
      </w:r>
      <w:r w:rsidR="000F4DC2">
        <w:lastRenderedPageBreak/>
        <w:t xml:space="preserve">but </w:t>
      </w:r>
      <w:r w:rsidR="007C5000">
        <w:t xml:space="preserve">the zoning </w:t>
      </w:r>
      <w:r w:rsidR="00FD35E8">
        <w:t xml:space="preserve">for the site </w:t>
      </w:r>
      <w:r w:rsidR="007C5000">
        <w:t xml:space="preserve">was </w:t>
      </w:r>
      <w:r w:rsidR="000F4DC2">
        <w:t xml:space="preserve">changed to </w:t>
      </w:r>
      <w:r w:rsidR="007C5000">
        <w:t xml:space="preserve">DR 3.5. Since 2012 </w:t>
      </w:r>
      <w:r w:rsidR="000F4DC2">
        <w:t xml:space="preserve">and </w:t>
      </w:r>
      <w:r w:rsidR="00FD35E8">
        <w:t>up to today</w:t>
      </w:r>
      <w:r w:rsidR="000F4DC2">
        <w:t>,</w:t>
      </w:r>
      <w:r w:rsidR="007C5000">
        <w:t xml:space="preserve"> 2020 the </w:t>
      </w:r>
      <w:r w:rsidR="00FD35E8">
        <w:t>site</w:t>
      </w:r>
      <w:r w:rsidR="007C5000">
        <w:t xml:space="preserve"> </w:t>
      </w:r>
      <w:r w:rsidR="00FD35E8">
        <w:t>h</w:t>
      </w:r>
      <w:r w:rsidR="007C5000">
        <w:t xml:space="preserve">as </w:t>
      </w:r>
      <w:r w:rsidR="00FD35E8">
        <w:t xml:space="preserve">been </w:t>
      </w:r>
      <w:r w:rsidR="007C5000">
        <w:t>zoned DR 1 when the area was changed to a Community Conservation Area. All of the existing townhouse development</w:t>
      </w:r>
      <w:r w:rsidR="003B5B87" w:rsidRPr="002726DC">
        <w:t>s</w:t>
      </w:r>
      <w:r w:rsidR="007C5000">
        <w:t xml:space="preserve"> in the area </w:t>
      </w:r>
      <w:r w:rsidR="007C5000" w:rsidRPr="002726DC">
        <w:t>w</w:t>
      </w:r>
      <w:r w:rsidR="003B5B87" w:rsidRPr="002726DC">
        <w:t>ere</w:t>
      </w:r>
      <w:r w:rsidR="007C5000">
        <w:t xml:space="preserve"> developed at DR 5.5 or DR 3.5 density</w:t>
      </w:r>
      <w:r w:rsidR="00726386">
        <w:t xml:space="preserve"> (or in most cases developed at less density)</w:t>
      </w:r>
      <w:r w:rsidR="003B5B87" w:rsidRPr="002726DC">
        <w:t>. T</w:t>
      </w:r>
      <w:r w:rsidR="007C5000" w:rsidRPr="002726DC">
        <w:t>he</w:t>
      </w:r>
      <w:r w:rsidR="007C5000">
        <w:t xml:space="preserve"> proposed Magnolia PUD is proposed at DR 6.2</w:t>
      </w:r>
      <w:r w:rsidR="00FD35E8">
        <w:t xml:space="preserve"> density</w:t>
      </w:r>
      <w:r w:rsidR="007C5000">
        <w:t xml:space="preserve">. </w:t>
      </w:r>
    </w:p>
    <w:p w14:paraId="755D358E" w14:textId="77777777" w:rsidR="00176074" w:rsidRDefault="00176074" w:rsidP="00176074"/>
    <w:p w14:paraId="13DC900F" w14:textId="7C560724" w:rsidR="00176074" w:rsidRDefault="00176074" w:rsidP="00176074">
      <w:pPr>
        <w:pStyle w:val="ListParagraph"/>
        <w:numPr>
          <w:ilvl w:val="0"/>
          <w:numId w:val="1"/>
        </w:numPr>
      </w:pPr>
      <w:r>
        <w:t xml:space="preserve">Baltimore </w:t>
      </w:r>
      <w:r w:rsidR="00096D13">
        <w:t xml:space="preserve">County </w:t>
      </w:r>
      <w:r>
        <w:t xml:space="preserve">Master Plan 2020 - </w:t>
      </w:r>
      <w:r w:rsidR="007C5000">
        <w:t xml:space="preserve">The County designation of the PUD area is Community Conservation (pages 39 </w:t>
      </w:r>
      <w:r w:rsidR="00022CCE">
        <w:t>–</w:t>
      </w:r>
      <w:r w:rsidR="007C5000">
        <w:t xml:space="preserve"> </w:t>
      </w:r>
      <w:r w:rsidR="00022CCE">
        <w:t>62</w:t>
      </w:r>
      <w:r w:rsidR="007C5000">
        <w:t xml:space="preserve">, Baltimore County Master Plan 2020). </w:t>
      </w:r>
      <w:r w:rsidR="00022CCE">
        <w:t>Key policies include supporting existing communities with adequate infrastructure (schools, roads, parks, water, sewer, police, fire etc.)</w:t>
      </w:r>
      <w:r w:rsidR="00FD35E8">
        <w:t xml:space="preserve">. Clearly, the proposed Magnolia PUD is not in keeping with these policies. </w:t>
      </w:r>
    </w:p>
    <w:p w14:paraId="0F8F5283" w14:textId="77777777" w:rsidR="00176074" w:rsidRDefault="00176074" w:rsidP="00176074">
      <w:pPr>
        <w:pStyle w:val="ListParagraph"/>
      </w:pPr>
    </w:p>
    <w:p w14:paraId="085D34E0" w14:textId="09F4EC7C" w:rsidR="00FD35E8" w:rsidRDefault="00124152" w:rsidP="00176074">
      <w:pPr>
        <w:pStyle w:val="ListParagraph"/>
        <w:numPr>
          <w:ilvl w:val="0"/>
          <w:numId w:val="1"/>
        </w:numPr>
      </w:pPr>
      <w:r>
        <w:t xml:space="preserve">Fiscal Impacts – Fiscal impacts need to </w:t>
      </w:r>
      <w:r w:rsidR="00096D13">
        <w:t xml:space="preserve">be </w:t>
      </w:r>
      <w:r>
        <w:t>evaluated on two levels. First, if the development were allowed to proceed, the taxes paid by the development would not even support</w:t>
      </w:r>
      <w:r w:rsidR="000F4DC2">
        <w:t xml:space="preserve"> </w:t>
      </w:r>
      <w:r w:rsidR="000F4DC2" w:rsidRPr="000F4DC2">
        <w:rPr>
          <w:rFonts w:ascii="Calibri" w:hAnsi="Calibri" w:cs="Calibri"/>
          <w:color w:val="000000" w:themeColor="text1"/>
        </w:rPr>
        <w:t>the amounts necessary for schools (schools currently are 51% of the County budget) and not to mention police, fire, trash</w:t>
      </w:r>
      <w:r w:rsidR="00BB5DE8" w:rsidRPr="000F4DC2">
        <w:rPr>
          <w:color w:val="000000" w:themeColor="text1"/>
        </w:rPr>
        <w:t xml:space="preserve">, open space and other services that the County provides. </w:t>
      </w:r>
      <w:r w:rsidR="00FD35E8" w:rsidRPr="000F4DC2">
        <w:rPr>
          <w:color w:val="000000" w:themeColor="text1"/>
        </w:rPr>
        <w:t xml:space="preserve">This </w:t>
      </w:r>
      <w:r w:rsidR="00FD35E8">
        <w:t xml:space="preserve">assessment is based upon the average taxes per townhouse versus the average cost to educate a Baltimore County student.   </w:t>
      </w:r>
    </w:p>
    <w:p w14:paraId="7AC21B36" w14:textId="77777777" w:rsidR="00FD35E8" w:rsidRDefault="00FD35E8" w:rsidP="00FD35E8">
      <w:pPr>
        <w:pStyle w:val="ListParagraph"/>
      </w:pPr>
    </w:p>
    <w:p w14:paraId="039ADC69" w14:textId="4A975F32" w:rsidR="00176074" w:rsidRDefault="00BB5DE8" w:rsidP="00FD35E8">
      <w:pPr>
        <w:pStyle w:val="ListParagraph"/>
        <w:ind w:left="360"/>
      </w:pPr>
      <w:r>
        <w:t>Second, with the impact of COVID19 on the County budget, money for new school construction and operation (</w:t>
      </w:r>
      <w:r w:rsidRPr="00DA6B99">
        <w:rPr>
          <w:color w:val="000000" w:themeColor="text1"/>
        </w:rPr>
        <w:t>teachers</w:t>
      </w:r>
      <w:r w:rsidR="00DA6B99" w:rsidRPr="00DA6B99">
        <w:rPr>
          <w:color w:val="000000" w:themeColor="text1"/>
        </w:rPr>
        <w:t>,</w:t>
      </w:r>
      <w:r w:rsidRPr="00DA6B99">
        <w:rPr>
          <w:color w:val="000000" w:themeColor="text1"/>
        </w:rPr>
        <w:t xml:space="preserve"> </w:t>
      </w:r>
      <w:r w:rsidR="00DA6B99" w:rsidRPr="00DA6B99">
        <w:rPr>
          <w:rFonts w:ascii="Calibri" w:hAnsi="Calibri" w:cs="Calibri"/>
          <w:color w:val="000000" w:themeColor="text1"/>
        </w:rPr>
        <w:t xml:space="preserve">supplies, transportation, state of good repair etc.) will not be available for many </w:t>
      </w:r>
      <w:r w:rsidRPr="00DA6B99">
        <w:rPr>
          <w:color w:val="000000" w:themeColor="text1"/>
        </w:rPr>
        <w:t>years into the future.</w:t>
      </w:r>
      <w:r w:rsidR="00022CCE" w:rsidRPr="00DA6B99">
        <w:rPr>
          <w:color w:val="000000" w:themeColor="text1"/>
        </w:rPr>
        <w:t xml:space="preserve"> Until the County budget is fully </w:t>
      </w:r>
      <w:r w:rsidR="00022CCE">
        <w:t>reconciled</w:t>
      </w:r>
      <w:r w:rsidR="003B5B87" w:rsidRPr="002726DC">
        <w:t>,</w:t>
      </w:r>
      <w:r w:rsidR="00022CCE">
        <w:t xml:space="preserve"> no residential development should be approved. </w:t>
      </w:r>
    </w:p>
    <w:p w14:paraId="670649EF" w14:textId="77777777" w:rsidR="00124152" w:rsidRDefault="00124152" w:rsidP="00022CCE"/>
    <w:p w14:paraId="774F52F4" w14:textId="715D1F74" w:rsidR="00124152" w:rsidRDefault="00124152" w:rsidP="00176074">
      <w:pPr>
        <w:pStyle w:val="ListParagraph"/>
        <w:numPr>
          <w:ilvl w:val="0"/>
          <w:numId w:val="1"/>
        </w:numPr>
      </w:pPr>
      <w:r>
        <w:t xml:space="preserve">County Growth </w:t>
      </w:r>
      <w:r w:rsidR="0098378B">
        <w:t>–</w:t>
      </w:r>
      <w:r>
        <w:t xml:space="preserve"> </w:t>
      </w:r>
      <w:r w:rsidR="00DF791D">
        <w:t xml:space="preserve">The Perry Hall area over the next 25 years is not expected to increase </w:t>
      </w:r>
      <w:r w:rsidR="00726386">
        <w:t xml:space="preserve">in </w:t>
      </w:r>
      <w:r w:rsidR="00DF791D">
        <w:t xml:space="preserve">population or households in any significant manner. </w:t>
      </w:r>
      <w:r w:rsidR="00DA6B99" w:rsidRPr="00DA6B99">
        <w:rPr>
          <w:rFonts w:ascii="Calibri" w:hAnsi="Calibri" w:cs="Calibri"/>
          <w:color w:val="000000" w:themeColor="text1"/>
        </w:rPr>
        <w:t xml:space="preserve">During that same period, </w:t>
      </w:r>
      <w:r w:rsidR="00DF791D">
        <w:t>the population is expected to grow by 1,112 people</w:t>
      </w:r>
      <w:r w:rsidR="00726386">
        <w:t>/</w:t>
      </w:r>
      <w:r w:rsidR="00DF791D">
        <w:t xml:space="preserve">503 households. Given the existing developments currently approved or under construction </w:t>
      </w:r>
      <w:r w:rsidR="00DA6B99">
        <w:t xml:space="preserve">the </w:t>
      </w:r>
      <w:r w:rsidR="00DF791D">
        <w:t xml:space="preserve">Perry Hall area is already going to meet its fair share of County growth and development.  </w:t>
      </w:r>
      <w:r w:rsidR="00DA6B99" w:rsidRPr="00DA6B99">
        <w:rPr>
          <w:rFonts w:ascii="Calibri" w:hAnsi="Calibri" w:cs="Calibri"/>
          <w:color w:val="000000" w:themeColor="text1"/>
        </w:rPr>
        <w:t xml:space="preserve">In view of the aforementioned discussion the PHIA is going on record to oppose the </w:t>
      </w:r>
      <w:r w:rsidR="00DF791D">
        <w:t xml:space="preserve">development of Magnolia </w:t>
      </w:r>
      <w:r w:rsidR="00DA6B99">
        <w:t>a</w:t>
      </w:r>
      <w:r w:rsidR="00DF791D">
        <w:t xml:space="preserve">s excessive (62 PUD units versus 10 allowable units), and not warranted.        </w:t>
      </w:r>
    </w:p>
    <w:p w14:paraId="3D28B945" w14:textId="5E586B86" w:rsidR="002726DC" w:rsidRDefault="002726DC" w:rsidP="0098378B"/>
    <w:p w14:paraId="669CB5BD" w14:textId="2B30986C" w:rsidR="00FC4721" w:rsidRDefault="00FC4721" w:rsidP="0098378B">
      <w:pPr>
        <w:rPr>
          <w:b/>
        </w:rPr>
      </w:pPr>
      <w:r>
        <w:rPr>
          <w:b/>
        </w:rPr>
        <w:t>Detailed Analysis</w:t>
      </w:r>
    </w:p>
    <w:p w14:paraId="025433AB" w14:textId="77777777" w:rsidR="00FC4721" w:rsidRDefault="00FC4721" w:rsidP="0098378B">
      <w:pPr>
        <w:rPr>
          <w:b/>
        </w:rPr>
      </w:pPr>
    </w:p>
    <w:p w14:paraId="1317F858" w14:textId="1E60E3FD" w:rsidR="002726DC" w:rsidRDefault="002726DC" w:rsidP="0098378B">
      <w:r w:rsidRPr="002726DC">
        <w:rPr>
          <w:b/>
        </w:rPr>
        <w:t xml:space="preserve">School Capacity </w:t>
      </w:r>
      <w:r w:rsidR="00F10FC6">
        <w:rPr>
          <w:b/>
        </w:rPr>
        <w:t>–</w:t>
      </w:r>
      <w:r w:rsidRPr="002726DC">
        <w:rPr>
          <w:b/>
        </w:rPr>
        <w:t xml:space="preserve"> </w:t>
      </w:r>
      <w:r w:rsidR="00D76E6B">
        <w:t xml:space="preserve">The elementary schools within the Perry Hall area are all currently at </w:t>
      </w:r>
      <w:r w:rsidR="00DA6B99">
        <w:t xml:space="preserve">capacity </w:t>
      </w:r>
      <w:r w:rsidR="00D76E6B">
        <w:t xml:space="preserve">or exceeding </w:t>
      </w:r>
      <w:r w:rsidR="00DA6B99">
        <w:t>same</w:t>
      </w:r>
      <w:r w:rsidR="00D76E6B">
        <w:t xml:space="preserve">. The Adequate Public Facilities Law </w:t>
      </w:r>
      <w:r w:rsidR="008D6A26">
        <w:t>allows development to use any spare capacity in an adjoining school to accommodate students, however the existing elementary schools are all at or over capacity.</w:t>
      </w:r>
      <w:r w:rsidR="009E4DDE">
        <w:t xml:space="preserve"> No residential development should be approved until the schools are fully funded in </w:t>
      </w:r>
      <w:r w:rsidR="00DA6B99">
        <w:t>future</w:t>
      </w:r>
      <w:r w:rsidR="009E4DDE">
        <w:t xml:space="preserve"> capital budget</w:t>
      </w:r>
      <w:r w:rsidR="00DA6B99">
        <w:t>s</w:t>
      </w:r>
      <w:r w:rsidR="009E4DDE">
        <w:t xml:space="preserve">. </w:t>
      </w:r>
    </w:p>
    <w:p w14:paraId="665623AC" w14:textId="11A37C6B" w:rsidR="008D6A26" w:rsidRDefault="008D6A26" w:rsidP="0098378B"/>
    <w:p w14:paraId="5B7CE60C" w14:textId="73175F26" w:rsidR="008D6A26" w:rsidRDefault="008D6A26" w:rsidP="0098378B">
      <w:r>
        <w:t xml:space="preserve">The Perry Hall Middle School is now at 117.06% capacity (232 students over capacity). Even using the state average of 22 students per class room </w:t>
      </w:r>
      <w:r w:rsidR="00726386">
        <w:t>(which does</w:t>
      </w:r>
      <w:r>
        <w:t xml:space="preserve"> not </w:t>
      </w:r>
      <w:r w:rsidR="00DA6B99">
        <w:t xml:space="preserve">include </w:t>
      </w:r>
      <w:r w:rsidR="00726386">
        <w:t xml:space="preserve">smaller class sizes for </w:t>
      </w:r>
      <w:r>
        <w:t>special education</w:t>
      </w:r>
      <w:r w:rsidR="00726386">
        <w:t>, art</w:t>
      </w:r>
      <w:r>
        <w:t xml:space="preserve"> etc.</w:t>
      </w:r>
      <w:r w:rsidR="00726386">
        <w:t xml:space="preserve">) </w:t>
      </w:r>
      <w:r w:rsidR="00DA6B99">
        <w:t xml:space="preserve">translates into </w:t>
      </w:r>
      <w:r>
        <w:t xml:space="preserve">10 extra classrooms </w:t>
      </w:r>
      <w:r w:rsidR="00726386">
        <w:t xml:space="preserve">will be </w:t>
      </w:r>
      <w:r>
        <w:t>needed</w:t>
      </w:r>
      <w:r w:rsidR="000E0E6D">
        <w:t xml:space="preserve"> for this school</w:t>
      </w:r>
      <w:r>
        <w:t xml:space="preserve">. </w:t>
      </w:r>
    </w:p>
    <w:p w14:paraId="671655EB" w14:textId="5EEB0996" w:rsidR="008D6A26" w:rsidRDefault="008D6A26" w:rsidP="0098378B"/>
    <w:p w14:paraId="79DBAAF0" w14:textId="0A7C5F00" w:rsidR="008D6A26" w:rsidRDefault="008D6A26" w:rsidP="0098378B">
      <w:r>
        <w:t>Based upon the County assessment of pupil yield</w:t>
      </w:r>
      <w:r w:rsidR="000E0E6D">
        <w:t>,</w:t>
      </w:r>
      <w:r>
        <w:t xml:space="preserve"> the Magnolia townhouse development is expected to yield </w:t>
      </w:r>
      <w:r w:rsidR="009E4DDE">
        <w:t xml:space="preserve">23 elementary students (roughly one classroom), 9 middle school students, </w:t>
      </w:r>
    </w:p>
    <w:p w14:paraId="4C71DD8A" w14:textId="4250DE63" w:rsidR="009E4DDE" w:rsidRPr="00D76E6B" w:rsidRDefault="009E4DDE" w:rsidP="0098378B">
      <w:r>
        <w:t xml:space="preserve">and 9 high school students. </w:t>
      </w:r>
    </w:p>
    <w:p w14:paraId="2A40564E" w14:textId="4F58E505" w:rsidR="00D76E6B" w:rsidRDefault="00D76E6B" w:rsidP="0098378B">
      <w:pPr>
        <w:rPr>
          <w:b/>
        </w:rPr>
      </w:pPr>
    </w:p>
    <w:p w14:paraId="4A01AE30" w14:textId="725D15A5" w:rsidR="00DF791D" w:rsidRDefault="003F0BB5" w:rsidP="0098378B">
      <w:r>
        <w:rPr>
          <w:noProof/>
        </w:rPr>
        <w:object w:dxaOrig="14600" w:dyaOrig="7400" w14:anchorId="3BCEE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1pt;height:233.7pt;mso-width-percent:0;mso-height-percent:0;mso-width-percent:0;mso-height-percent:0" o:ole="">
            <v:imagedata r:id="rId7" o:title=""/>
          </v:shape>
          <o:OLEObject Type="Embed" ProgID="Excel.Sheet.12" ShapeID="_x0000_i1025" DrawAspect="Content" ObjectID="_1653282959" r:id="rId8"/>
        </w:object>
      </w:r>
    </w:p>
    <w:p w14:paraId="781446E9" w14:textId="3CF14F1B" w:rsidR="00D76E6B" w:rsidRDefault="00D76E6B" w:rsidP="0098378B">
      <w:pPr>
        <w:rPr>
          <w:b/>
        </w:rPr>
      </w:pPr>
    </w:p>
    <w:p w14:paraId="628EAF51" w14:textId="02A836C8" w:rsidR="009E4DDE" w:rsidRDefault="009E4DDE" w:rsidP="0098378B">
      <w:r w:rsidRPr="009E4DDE">
        <w:rPr>
          <w:b/>
        </w:rPr>
        <w:t xml:space="preserve">COVID19 </w:t>
      </w:r>
      <w:r>
        <w:rPr>
          <w:b/>
        </w:rPr>
        <w:t>–</w:t>
      </w:r>
      <w:r w:rsidRPr="009E4DDE">
        <w:rPr>
          <w:b/>
        </w:rPr>
        <w:t xml:space="preserve"> </w:t>
      </w:r>
      <w:r>
        <w:t>The COVID19 pandemic has placed a great deal of uncertainty on how schools will operate and function in the future. In a non-va</w:t>
      </w:r>
      <w:r w:rsidR="00DA6B99">
        <w:t>c</w:t>
      </w:r>
      <w:r>
        <w:t>cine environment if students are in schools they will have to practice proper safety protocol and procedures. Keeping students separated and safe from infection will necessitate in reduced class sizes and staggering days of attendance with possible year</w:t>
      </w:r>
      <w:r w:rsidR="00394589">
        <w:t>-</w:t>
      </w:r>
      <w:r>
        <w:t>round attendance. Lunch rooms, art rooms, bathrooms etc. will all have to be restructured. Clearly, if the existing schools are unable to accommodate students</w:t>
      </w:r>
      <w:r w:rsidR="00DA6B99">
        <w:t>/schools that</w:t>
      </w:r>
      <w:r>
        <w:t xml:space="preserve"> are current over capacity</w:t>
      </w:r>
      <w:r w:rsidR="00DA6B99">
        <w:t>,</w:t>
      </w:r>
      <w:r>
        <w:t xml:space="preserve"> in a non-COVID19 environment then reduced capacities at 30% - 50% will not be able to be accommodated.</w:t>
      </w:r>
      <w:r w:rsidR="00394589">
        <w:t xml:space="preserve"> Within the current environment approving density </w:t>
      </w:r>
      <w:r w:rsidR="000E0E6D">
        <w:t xml:space="preserve">for the Magnolia PUD </w:t>
      </w:r>
      <w:r w:rsidR="00394589">
        <w:t xml:space="preserve">at over 6 </w:t>
      </w:r>
      <w:r w:rsidR="00DA6B99">
        <w:t>times</w:t>
      </w:r>
      <w:r w:rsidR="00394589">
        <w:t xml:space="preserve"> the allowable density would not be responsible.</w:t>
      </w:r>
    </w:p>
    <w:p w14:paraId="6345BA2D" w14:textId="050442EB" w:rsidR="00394589" w:rsidRDefault="00394589" w:rsidP="0098378B"/>
    <w:p w14:paraId="0CBC851C" w14:textId="5273C6BB" w:rsidR="00394589" w:rsidRDefault="00394589" w:rsidP="0098378B">
      <w:r>
        <w:rPr>
          <w:b/>
        </w:rPr>
        <w:t xml:space="preserve">Zoning – </w:t>
      </w:r>
      <w:r>
        <w:t xml:space="preserve">The zoning history of the proposed development is </w:t>
      </w:r>
      <w:r w:rsidR="00DA6B99">
        <w:t>provided</w:t>
      </w:r>
      <w:r>
        <w:t xml:space="preserve"> per the chart below.</w:t>
      </w:r>
    </w:p>
    <w:p w14:paraId="0F87DA6F" w14:textId="1746A88A" w:rsidR="00394589" w:rsidRDefault="00394589" w:rsidP="0098378B">
      <w:r>
        <w:t xml:space="preserve"> </w:t>
      </w:r>
    </w:p>
    <w:p w14:paraId="3F53AF30" w14:textId="24A92793" w:rsidR="00394589" w:rsidRPr="00394589" w:rsidRDefault="00394589" w:rsidP="0098378B">
      <w:r w:rsidRPr="00394589">
        <w:rPr>
          <w:noProof/>
        </w:rPr>
        <w:lastRenderedPageBreak/>
        <w:drawing>
          <wp:inline distT="0" distB="0" distL="0" distR="0" wp14:anchorId="086005CD" wp14:editId="04C1CE12">
            <wp:extent cx="2930655" cy="263077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2342" cy="2659219"/>
                    </a:xfrm>
                    <a:prstGeom prst="rect">
                      <a:avLst/>
                    </a:prstGeom>
                  </pic:spPr>
                </pic:pic>
              </a:graphicData>
            </a:graphic>
          </wp:inline>
        </w:drawing>
      </w:r>
    </w:p>
    <w:p w14:paraId="1C3ACAE0" w14:textId="4BE8199B" w:rsidR="00394589" w:rsidRDefault="00394589" w:rsidP="0098378B">
      <w:pPr>
        <w:rPr>
          <w:b/>
        </w:rPr>
      </w:pPr>
    </w:p>
    <w:p w14:paraId="6DAA15F7" w14:textId="12069F1F" w:rsidR="00394589" w:rsidRDefault="00394589" w:rsidP="00394589">
      <w:r>
        <w:t xml:space="preserve">The surrounding community area is now largely developed. Between 1971 and 1996 when the area was designated as a Growth Area, the zoning for this site was DR 5.5. Between 2000 and 2008 when the area was still designated as a growth area the zoning for the site was </w:t>
      </w:r>
      <w:r w:rsidR="00DA6B99">
        <w:t xml:space="preserve">changed to </w:t>
      </w:r>
      <w:r>
        <w:t>DR 3.5. Since 2012 up to today 2020 the site has been zoned DR 1 when the area was changed to a Community Conservation Area. All of the existing townhouse development</w:t>
      </w:r>
      <w:r w:rsidRPr="002726DC">
        <w:t>s</w:t>
      </w:r>
      <w:r>
        <w:t xml:space="preserve"> in the area </w:t>
      </w:r>
      <w:r w:rsidRPr="002726DC">
        <w:t>were</w:t>
      </w:r>
      <w:r>
        <w:t xml:space="preserve"> developed at DR 5.5 or DR 3.5 density</w:t>
      </w:r>
      <w:r w:rsidRPr="002726DC">
        <w:t>. The</w:t>
      </w:r>
      <w:r>
        <w:t xml:space="preserve"> proposed Magnolia PUD is proposed at DR 6.2 density. The zoning on the Magnolia PUD site has been consistently adjusted over time to accommodate the planning for the County and community. During years of growth and development the zoning was DR 5.5 (which is still below the DR 6.2 the developer is requesting) and during the period of community conservation the zoning was reduced to DR 3.5 and DR 1. </w:t>
      </w:r>
    </w:p>
    <w:p w14:paraId="3F5ABC43" w14:textId="77777777" w:rsidR="00394589" w:rsidRDefault="00394589" w:rsidP="00394589"/>
    <w:p w14:paraId="6CC24961" w14:textId="16F52C36" w:rsidR="00394589" w:rsidRDefault="00394589" w:rsidP="00394589">
      <w:r>
        <w:t>This zoning was not put in place to allow negotiation for higher density yet rather to ‘properly</w:t>
      </w:r>
    </w:p>
    <w:p w14:paraId="6E030B78" w14:textId="05B881C1" w:rsidR="00394589" w:rsidRDefault="00394589" w:rsidP="00394589">
      <w:r>
        <w:t xml:space="preserve">zone’ the area. </w:t>
      </w:r>
    </w:p>
    <w:p w14:paraId="3E601C3A" w14:textId="0827A947" w:rsidR="00394589" w:rsidRDefault="00394589" w:rsidP="00394589"/>
    <w:p w14:paraId="01452A21" w14:textId="0E967416" w:rsidR="004E44A1" w:rsidRDefault="00394589" w:rsidP="00394589">
      <w:r w:rsidRPr="00394589">
        <w:rPr>
          <w:b/>
        </w:rPr>
        <w:t xml:space="preserve">Baltimore County Master Plan 2020 and Community Plans - </w:t>
      </w:r>
      <w:r>
        <w:t xml:space="preserve">The designation of the PUD area in the Baltimore County Master Plan is Community Conservation (pages 39 – 62, Baltimore County Master Plan 2020). Key policies include supporting existing communities with adequate infrastructure (schools, roads, parks, water, sewer, police, fire etc.). </w:t>
      </w:r>
    </w:p>
    <w:p w14:paraId="3CF02498" w14:textId="63B8A253" w:rsidR="007A650B" w:rsidRDefault="007A650B" w:rsidP="00394589"/>
    <w:p w14:paraId="3D383274" w14:textId="2927C9F0" w:rsidR="007A650B" w:rsidRDefault="007A650B" w:rsidP="00394589">
      <w:r w:rsidRPr="007A650B">
        <w:rPr>
          <w:noProof/>
        </w:rPr>
        <w:lastRenderedPageBreak/>
        <w:drawing>
          <wp:inline distT="0" distB="0" distL="0" distR="0" wp14:anchorId="767AC145" wp14:editId="71F98979">
            <wp:extent cx="3385320" cy="4592171"/>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5887" cy="4620070"/>
                    </a:xfrm>
                    <a:prstGeom prst="rect">
                      <a:avLst/>
                    </a:prstGeom>
                  </pic:spPr>
                </pic:pic>
              </a:graphicData>
            </a:graphic>
          </wp:inline>
        </w:drawing>
      </w:r>
    </w:p>
    <w:p w14:paraId="29E880A8" w14:textId="579C636E" w:rsidR="00FC4721" w:rsidRDefault="00FC4721" w:rsidP="00394589"/>
    <w:p w14:paraId="0A27C9E6" w14:textId="0FA6D718" w:rsidR="00FC4721" w:rsidRDefault="00FC4721" w:rsidP="00394589">
      <w:r>
        <w:t>The Magnolia PUD development is located within a T-3 transect zone</w:t>
      </w:r>
      <w:r w:rsidR="007A650B">
        <w:t>. The zone allows detached single-family homes. The plan</w:t>
      </w:r>
      <w:r>
        <w:t xml:space="preserve"> states the following.</w:t>
      </w:r>
    </w:p>
    <w:p w14:paraId="4C48682A" w14:textId="3F08B40E" w:rsidR="00FC4721" w:rsidRPr="00FC4721" w:rsidRDefault="00FC4721" w:rsidP="00FC4721">
      <w:pPr>
        <w:pStyle w:val="NormalWeb"/>
        <w:rPr>
          <w:rFonts w:ascii="SymbolMT" w:hAnsi="SymbolMT"/>
        </w:rPr>
      </w:pPr>
      <w:r w:rsidRPr="000E0E6D">
        <w:rPr>
          <w:rFonts w:ascii="TimesNewRomanPS" w:hAnsi="TimesNewRomanPS"/>
          <w:bCs/>
        </w:rPr>
        <w:t>“T-3 (Sub-Urban Zone)</w:t>
      </w:r>
      <w:r>
        <w:rPr>
          <w:rFonts w:ascii="TimesNewRomanPS" w:hAnsi="TimesNewRomanPS"/>
          <w:b/>
          <w:bCs/>
        </w:rPr>
        <w:t xml:space="preserve"> </w:t>
      </w:r>
      <w:r>
        <w:rPr>
          <w:rFonts w:ascii="TimesNewRomanPSMT" w:hAnsi="TimesNewRomanPSMT" w:cs="TimesNewRomanPSMT"/>
        </w:rPr>
        <w:t xml:space="preserve">includes low-density residential areas, adjacent to higher zones that contain mixed use. Home occupations and outbuildings may be allowed. Landscaping is naturalistic and setbacks are relatively deep. Blocks may be large and the roads irregular to accommodate natural conditions.” Baltimore County Master Plan, page 29. </w:t>
      </w:r>
    </w:p>
    <w:p w14:paraId="311F8889" w14:textId="7D085C6F" w:rsidR="00FC4721" w:rsidRPr="000E0E6D" w:rsidRDefault="004E44A1" w:rsidP="00646D60">
      <w:pPr>
        <w:pStyle w:val="NormalWeb"/>
        <w:rPr>
          <w:rFonts w:ascii="TimesNewRomanPSMT" w:hAnsi="TimesNewRomanPSMT" w:cs="TimesNewRomanPSMT"/>
        </w:rPr>
      </w:pPr>
      <w:r>
        <w:rPr>
          <w:rFonts w:ascii="TimesNewRomanPSMT" w:hAnsi="TimesNewRomanPSMT" w:cs="TimesNewRomanPSMT"/>
        </w:rPr>
        <w:t xml:space="preserve">“The CCAs were first delineated in the 1989-2000 Master Plan. By adopting these areas as a new land use designation, the County set precedent, and began a much-needed push to “conserve, revitalize and enhance our older residential communities.” The move to protect and invest in the older communities, and revitalize their commercial hubs followed the previous period when most public investment went to the new designated Growth Areas.” Baltimore County Master Plan 2020, page 39.  </w:t>
      </w:r>
      <w:r w:rsidR="00FC4721">
        <w:rPr>
          <w:rFonts w:ascii="TimesNewRomanPSMT" w:hAnsi="TimesNewRomanPSMT" w:cs="TimesNewRomanPSMT"/>
        </w:rPr>
        <w:t xml:space="preserve"> </w:t>
      </w:r>
    </w:p>
    <w:p w14:paraId="2D59ACA6" w14:textId="485427B4" w:rsidR="00646D60" w:rsidRDefault="00646D60" w:rsidP="00646D60">
      <w:pPr>
        <w:pStyle w:val="NormalWeb"/>
      </w:pPr>
      <w:r>
        <w:t>The Perry Hall Community Plan, adopted February 22, 2011 provides the following.</w:t>
      </w:r>
    </w:p>
    <w:p w14:paraId="759F1860" w14:textId="4B13D104" w:rsidR="00646D60" w:rsidRDefault="00646D60" w:rsidP="00646D60">
      <w:pPr>
        <w:pStyle w:val="NormalWeb"/>
        <w:rPr>
          <w:rFonts w:ascii="TimesNewRomanPS" w:hAnsi="TimesNewRomanPS"/>
          <w:iCs/>
        </w:rPr>
      </w:pPr>
      <w:r>
        <w:rPr>
          <w:rFonts w:ascii="TimesNewRomanPS" w:hAnsi="TimesNewRomanPS"/>
          <w:i/>
          <w:iCs/>
        </w:rPr>
        <w:lastRenderedPageBreak/>
        <w:t xml:space="preserve">“Although the Perry Hall Community Plan incorporates many suggestions, five overall themes are critical. First, this plan acknowledges that the period of large-scale development in Perry Hall is over.” </w:t>
      </w:r>
      <w:r>
        <w:rPr>
          <w:rFonts w:ascii="TimesNewRomanPS" w:hAnsi="TimesNewRomanPS"/>
          <w:iCs/>
        </w:rPr>
        <w:t>page 1.</w:t>
      </w:r>
    </w:p>
    <w:p w14:paraId="4C2AB899" w14:textId="2C29B257" w:rsidR="00646D60" w:rsidRDefault="00646D60" w:rsidP="00646D60">
      <w:pPr>
        <w:pStyle w:val="NormalWeb"/>
        <w:rPr>
          <w:rFonts w:ascii="TimesNewRomanPSMT" w:hAnsi="TimesNewRomanPSMT" w:cs="TimesNewRomanPSMT"/>
          <w:i/>
        </w:rPr>
      </w:pPr>
      <w:r>
        <w:rPr>
          <w:rFonts w:ascii="TimesNewRomanPS" w:hAnsi="TimesNewRomanPS"/>
          <w:bCs/>
          <w:i/>
        </w:rPr>
        <w:t>“</w:t>
      </w:r>
      <w:r w:rsidRPr="00646D60">
        <w:rPr>
          <w:rFonts w:ascii="TimesNewRomanPS" w:hAnsi="TimesNewRomanPS"/>
          <w:bCs/>
          <w:i/>
        </w:rPr>
        <w:t>Base future zoning decisions on consistent policies that reinforce Perry Hall’s character and neighborhood appeal</w:t>
      </w:r>
      <w:r w:rsidRPr="00646D60">
        <w:rPr>
          <w:rFonts w:ascii="TimesNewRomanPSMT" w:hAnsi="TimesNewRomanPSMT" w:cs="TimesNewRomanPSMT"/>
        </w:rPr>
        <w:t xml:space="preserve">.” </w:t>
      </w:r>
      <w:r>
        <w:rPr>
          <w:rFonts w:ascii="TimesNewRomanPSMT" w:hAnsi="TimesNewRomanPSMT" w:cs="TimesNewRomanPSMT"/>
        </w:rPr>
        <w:t>p</w:t>
      </w:r>
      <w:r w:rsidRPr="00646D60">
        <w:rPr>
          <w:rFonts w:ascii="TimesNewRomanPSMT" w:hAnsi="TimesNewRomanPSMT" w:cs="TimesNewRomanPSMT"/>
        </w:rPr>
        <w:t>age 4.</w:t>
      </w:r>
      <w:r w:rsidRPr="00646D60">
        <w:rPr>
          <w:rFonts w:ascii="TimesNewRomanPSMT" w:hAnsi="TimesNewRomanPSMT" w:cs="TimesNewRomanPSMT"/>
          <w:i/>
        </w:rPr>
        <w:t xml:space="preserve"> </w:t>
      </w:r>
    </w:p>
    <w:p w14:paraId="5584548D" w14:textId="12F44D8E" w:rsidR="00394589" w:rsidRDefault="00394589" w:rsidP="00394589">
      <w:r>
        <w:t xml:space="preserve">Clearly, the proposed Magnolia PUD is not in keeping with these policies. </w:t>
      </w:r>
    </w:p>
    <w:p w14:paraId="414FEB25" w14:textId="31FCCAE0" w:rsidR="00E140B2" w:rsidRDefault="00E140B2" w:rsidP="00394589"/>
    <w:p w14:paraId="1F5DE580" w14:textId="658A46A5" w:rsidR="00E140B2" w:rsidRDefault="00E140B2" w:rsidP="00E140B2">
      <w:r w:rsidRPr="00E140B2">
        <w:rPr>
          <w:b/>
        </w:rPr>
        <w:t xml:space="preserve">Fiscal Impacts </w:t>
      </w:r>
      <w:r>
        <w:rPr>
          <w:b/>
        </w:rPr>
        <w:t>–</w:t>
      </w:r>
      <w:r w:rsidRPr="00E140B2">
        <w:rPr>
          <w:b/>
        </w:rPr>
        <w:t xml:space="preserve"> </w:t>
      </w:r>
      <w:r>
        <w:t>As previously mentioned the Magnolia PUD</w:t>
      </w:r>
      <w:r w:rsidR="000E0E6D">
        <w:t xml:space="preserve"> proposes</w:t>
      </w:r>
      <w:r>
        <w:t xml:space="preserve"> 62 owner occupied townhomes </w:t>
      </w:r>
      <w:r w:rsidR="000E0E6D">
        <w:t xml:space="preserve">and </w:t>
      </w:r>
      <w:r>
        <w:t xml:space="preserve">is expected to generate 23 elementary students (roughly one </w:t>
      </w:r>
      <w:r w:rsidR="000E0E6D">
        <w:t xml:space="preserve">more </w:t>
      </w:r>
      <w:r>
        <w:t xml:space="preserve">classroom), 9 middle school students, and 9 high school students. The average annual cost to educate a student in the Baltimore County School system is $14,864 ($1.71 </w:t>
      </w:r>
      <w:proofErr w:type="gramStart"/>
      <w:r>
        <w:t>billion dollar</w:t>
      </w:r>
      <w:proofErr w:type="gramEnd"/>
      <w:r>
        <w:t xml:space="preserve"> budget FY20, 115,038 students).</w:t>
      </w:r>
    </w:p>
    <w:p w14:paraId="56E6F764" w14:textId="727B043A" w:rsidR="00E140B2" w:rsidRDefault="00E140B2" w:rsidP="00E140B2"/>
    <w:p w14:paraId="745E184F" w14:textId="2EDC865B" w:rsidR="00B925F4" w:rsidRDefault="00B925F4" w:rsidP="00E140B2">
      <w:r>
        <w:t xml:space="preserve">Using the townhouse development located closest to the Magnolia PUD site, the average annual taxes paid by one of those townhomes is approximately </w:t>
      </w:r>
      <w:r w:rsidR="00241FF5">
        <w:t xml:space="preserve">$3,300.00. Based upon this average one could expect to generate annually approximately $204,600 in real property taxes from the Magnolia PUD development. The </w:t>
      </w:r>
      <w:r w:rsidR="000E0E6D">
        <w:t xml:space="preserve">total </w:t>
      </w:r>
      <w:r w:rsidR="00241FF5">
        <w:t xml:space="preserve">annual cost of educating students from the development would be approximately $609,424 (41 students X $14,864 = $609,424). This does not include other public services such as roads, parks, police, fire, </w:t>
      </w:r>
      <w:r w:rsidR="00DA6B99">
        <w:t>trash</w:t>
      </w:r>
      <w:r w:rsidR="00241FF5">
        <w:t xml:space="preserve"> pick-up, libraries etc. </w:t>
      </w:r>
    </w:p>
    <w:p w14:paraId="3ADA826C" w14:textId="664FBDFA" w:rsidR="009E4DDE" w:rsidRDefault="00241FF5" w:rsidP="0098378B">
      <w:r>
        <w:t>The Magnolia PUD townhomes will need to rely upon additional growth and development from the busine</w:t>
      </w:r>
      <w:r w:rsidR="0014080F">
        <w:t>ss sectors of the County</w:t>
      </w:r>
      <w:r w:rsidR="000E0E6D">
        <w:t xml:space="preserve"> in order to be financially viable</w:t>
      </w:r>
      <w:r w:rsidR="0014080F">
        <w:t xml:space="preserve">. It will be </w:t>
      </w:r>
      <w:r w:rsidR="00DA6B99">
        <w:t>several more</w:t>
      </w:r>
      <w:r w:rsidR="0014080F">
        <w:t xml:space="preserve"> years before the current business economy returns to normal</w:t>
      </w:r>
      <w:r w:rsidR="000E0E6D">
        <w:t xml:space="preserve"> and starts to expand</w:t>
      </w:r>
      <w:r w:rsidR="0014080F">
        <w:t>.</w:t>
      </w:r>
    </w:p>
    <w:p w14:paraId="5A9524E5" w14:textId="77777777" w:rsidR="0014080F" w:rsidRPr="00241FF5" w:rsidRDefault="0014080F" w:rsidP="0098378B"/>
    <w:p w14:paraId="3C1E1015" w14:textId="0CD1B812" w:rsidR="00D76E6B" w:rsidRDefault="00DF791D" w:rsidP="00DF791D">
      <w:r w:rsidRPr="00DF791D">
        <w:rPr>
          <w:b/>
        </w:rPr>
        <w:t xml:space="preserve">County and Perry Hall </w:t>
      </w:r>
      <w:r w:rsidR="00E140B2">
        <w:rPr>
          <w:b/>
        </w:rPr>
        <w:t xml:space="preserve">Projected </w:t>
      </w:r>
      <w:r w:rsidRPr="00DF791D">
        <w:rPr>
          <w:b/>
        </w:rPr>
        <w:t xml:space="preserve">Growth - </w:t>
      </w:r>
      <w:r>
        <w:t>The population and household growth in the Perry Hall area is not expected to increase in any significant manner. In the next 25 years the population is expected to grow by 1,112 people</w:t>
      </w:r>
      <w:r w:rsidR="00D76E6B">
        <w:t>/</w:t>
      </w:r>
      <w:r>
        <w:t xml:space="preserve">503 households. Given the existing developments currently approved or under construction </w:t>
      </w:r>
      <w:r w:rsidR="007A650B">
        <w:t xml:space="preserve">(Strawbridge, Honeygo Run, Meadows at </w:t>
      </w:r>
      <w:proofErr w:type="spellStart"/>
      <w:r w:rsidR="007A650B">
        <w:t>Honeygo</w:t>
      </w:r>
      <w:proofErr w:type="spellEnd"/>
      <w:r w:rsidR="007A650B">
        <w:t xml:space="preserve">, </w:t>
      </w:r>
      <w:proofErr w:type="spellStart"/>
      <w:r w:rsidR="007A650B">
        <w:t>Gerst</w:t>
      </w:r>
      <w:proofErr w:type="spellEnd"/>
      <w:r w:rsidR="007A650B">
        <w:t xml:space="preserve"> Farm, Perry Hall Station), </w:t>
      </w:r>
      <w:r>
        <w:t xml:space="preserve">Perry Hall is already going to meet </w:t>
      </w:r>
      <w:proofErr w:type="spellStart"/>
      <w:proofErr w:type="gramStart"/>
      <w:r>
        <w:t>it’s</w:t>
      </w:r>
      <w:proofErr w:type="spellEnd"/>
      <w:proofErr w:type="gramEnd"/>
      <w:r>
        <w:t xml:space="preserve"> fair share of growth and development</w:t>
      </w:r>
      <w:r w:rsidR="007A650B">
        <w:t xml:space="preserve"> fo</w:t>
      </w:r>
      <w:r w:rsidR="00241FF5">
        <w:t>r</w:t>
      </w:r>
      <w:r w:rsidR="007A650B">
        <w:t xml:space="preserve"> th</w:t>
      </w:r>
      <w:r w:rsidR="000E0E6D">
        <w:t>is</w:t>
      </w:r>
      <w:r w:rsidR="007A650B">
        <w:t xml:space="preserve"> foreseeable future</w:t>
      </w:r>
      <w:r>
        <w:t xml:space="preserve">. </w:t>
      </w:r>
      <w:r w:rsidR="00D76E6B">
        <w:t>The PUD dwelling unit increase from 10 houses to 62 townhouses is excessive</w:t>
      </w:r>
      <w:r w:rsidR="008D6A26">
        <w:t>,</w:t>
      </w:r>
      <w:r w:rsidR="00D76E6B">
        <w:t xml:space="preserve"> unwarranted</w:t>
      </w:r>
      <w:r w:rsidR="008D6A26">
        <w:t xml:space="preserve"> and not justifiable</w:t>
      </w:r>
      <w:r w:rsidR="00D76E6B">
        <w:t xml:space="preserve">.  </w:t>
      </w:r>
    </w:p>
    <w:p w14:paraId="1363FD9E" w14:textId="7E054D3E" w:rsidR="00E140B2" w:rsidRDefault="00E140B2" w:rsidP="00DF791D"/>
    <w:p w14:paraId="2C71423B" w14:textId="64B871D8" w:rsidR="00E140B2" w:rsidRDefault="00E140B2" w:rsidP="00DF791D">
      <w:r>
        <w:t>The charts provided below show the growth and development predicted for the Perry Hall Area.</w:t>
      </w:r>
    </w:p>
    <w:p w14:paraId="24FC62BA" w14:textId="77777777" w:rsidR="00D76E6B" w:rsidRDefault="00D76E6B" w:rsidP="00DF791D"/>
    <w:p w14:paraId="5141AAAB" w14:textId="77777777" w:rsidR="00DF791D" w:rsidRDefault="00DF791D" w:rsidP="00DF791D"/>
    <w:p w14:paraId="5F3D342A" w14:textId="77777777" w:rsidR="00DF791D" w:rsidRDefault="00DF791D" w:rsidP="00DF791D">
      <w:r>
        <w:rPr>
          <w:noProof/>
        </w:rPr>
        <w:lastRenderedPageBreak/>
        <w:drawing>
          <wp:inline distT="0" distB="0" distL="0" distR="0" wp14:anchorId="75D9D289" wp14:editId="406EBB7E">
            <wp:extent cx="5080000" cy="2743200"/>
            <wp:effectExtent l="0" t="0" r="12700" b="12700"/>
            <wp:docPr id="1"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072B7D" w14:textId="77777777" w:rsidR="00DF791D" w:rsidRDefault="00DF791D" w:rsidP="00DF791D"/>
    <w:p w14:paraId="101C3A66" w14:textId="77777777" w:rsidR="00DF791D" w:rsidRDefault="00DF791D" w:rsidP="00DF791D">
      <w:r>
        <w:rPr>
          <w:noProof/>
        </w:rPr>
        <w:drawing>
          <wp:inline distT="0" distB="0" distL="0" distR="0" wp14:anchorId="731BB600" wp14:editId="0922070E">
            <wp:extent cx="5080000" cy="2743200"/>
            <wp:effectExtent l="0" t="0" r="12700" b="12700"/>
            <wp:docPr id="2" name="Chart 2">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90252" w14:textId="77777777" w:rsidR="00DF791D" w:rsidRDefault="00DF791D" w:rsidP="00DF791D"/>
    <w:tbl>
      <w:tblPr>
        <w:tblW w:w="8035" w:type="dxa"/>
        <w:tblLook w:val="04A0" w:firstRow="1" w:lastRow="0" w:firstColumn="1" w:lastColumn="0" w:noHBand="0" w:noVBand="1"/>
      </w:tblPr>
      <w:tblGrid>
        <w:gridCol w:w="1189"/>
        <w:gridCol w:w="979"/>
        <w:gridCol w:w="979"/>
        <w:gridCol w:w="979"/>
        <w:gridCol w:w="979"/>
        <w:gridCol w:w="979"/>
        <w:gridCol w:w="979"/>
        <w:gridCol w:w="979"/>
      </w:tblGrid>
      <w:tr w:rsidR="00DF791D" w:rsidRPr="00346E1C" w14:paraId="158C4BCC" w14:textId="77777777" w:rsidTr="002F06AD">
        <w:trPr>
          <w:trHeight w:val="288"/>
        </w:trPr>
        <w:tc>
          <w:tcPr>
            <w:tcW w:w="1182" w:type="dxa"/>
            <w:tcBorders>
              <w:top w:val="nil"/>
              <w:left w:val="nil"/>
              <w:bottom w:val="nil"/>
              <w:right w:val="nil"/>
            </w:tcBorders>
            <w:shd w:val="clear" w:color="auto" w:fill="auto"/>
            <w:noWrap/>
            <w:vAlign w:val="bottom"/>
            <w:hideMark/>
          </w:tcPr>
          <w:p w14:paraId="5CDABE28"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t>Population</w:t>
            </w:r>
          </w:p>
        </w:tc>
        <w:tc>
          <w:tcPr>
            <w:tcW w:w="979" w:type="dxa"/>
            <w:tcBorders>
              <w:top w:val="nil"/>
              <w:left w:val="nil"/>
              <w:bottom w:val="nil"/>
              <w:right w:val="nil"/>
            </w:tcBorders>
            <w:shd w:val="clear" w:color="000000" w:fill="DDEBF7"/>
            <w:noWrap/>
            <w:vAlign w:val="bottom"/>
            <w:hideMark/>
          </w:tcPr>
          <w:p w14:paraId="4EBDF17A"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2015</w:t>
            </w:r>
          </w:p>
        </w:tc>
        <w:tc>
          <w:tcPr>
            <w:tcW w:w="979" w:type="dxa"/>
            <w:tcBorders>
              <w:top w:val="nil"/>
              <w:left w:val="nil"/>
              <w:bottom w:val="nil"/>
              <w:right w:val="nil"/>
            </w:tcBorders>
            <w:shd w:val="clear" w:color="000000" w:fill="DDEBF7"/>
            <w:noWrap/>
            <w:vAlign w:val="bottom"/>
            <w:hideMark/>
          </w:tcPr>
          <w:p w14:paraId="67E5B334"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2020</w:t>
            </w:r>
          </w:p>
        </w:tc>
        <w:tc>
          <w:tcPr>
            <w:tcW w:w="979" w:type="dxa"/>
            <w:tcBorders>
              <w:top w:val="nil"/>
              <w:left w:val="nil"/>
              <w:bottom w:val="nil"/>
              <w:right w:val="nil"/>
            </w:tcBorders>
            <w:shd w:val="clear" w:color="000000" w:fill="DDEBF7"/>
            <w:noWrap/>
            <w:vAlign w:val="bottom"/>
            <w:hideMark/>
          </w:tcPr>
          <w:p w14:paraId="7218C294"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2025</w:t>
            </w:r>
          </w:p>
        </w:tc>
        <w:tc>
          <w:tcPr>
            <w:tcW w:w="979" w:type="dxa"/>
            <w:tcBorders>
              <w:top w:val="nil"/>
              <w:left w:val="nil"/>
              <w:bottom w:val="nil"/>
              <w:right w:val="nil"/>
            </w:tcBorders>
            <w:shd w:val="clear" w:color="000000" w:fill="DDEBF7"/>
            <w:noWrap/>
            <w:vAlign w:val="bottom"/>
            <w:hideMark/>
          </w:tcPr>
          <w:p w14:paraId="3AEDAF29"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2030</w:t>
            </w:r>
          </w:p>
        </w:tc>
        <w:tc>
          <w:tcPr>
            <w:tcW w:w="979" w:type="dxa"/>
            <w:tcBorders>
              <w:top w:val="nil"/>
              <w:left w:val="nil"/>
              <w:bottom w:val="nil"/>
              <w:right w:val="nil"/>
            </w:tcBorders>
            <w:shd w:val="clear" w:color="000000" w:fill="DDEBF7"/>
            <w:noWrap/>
            <w:vAlign w:val="bottom"/>
            <w:hideMark/>
          </w:tcPr>
          <w:p w14:paraId="4B659A6D"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2035</w:t>
            </w:r>
          </w:p>
        </w:tc>
        <w:tc>
          <w:tcPr>
            <w:tcW w:w="979" w:type="dxa"/>
            <w:tcBorders>
              <w:top w:val="nil"/>
              <w:left w:val="nil"/>
              <w:bottom w:val="nil"/>
              <w:right w:val="nil"/>
            </w:tcBorders>
            <w:shd w:val="clear" w:color="000000" w:fill="DDEBF7"/>
            <w:noWrap/>
            <w:vAlign w:val="bottom"/>
            <w:hideMark/>
          </w:tcPr>
          <w:p w14:paraId="13E21BF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2040</w:t>
            </w:r>
          </w:p>
        </w:tc>
        <w:tc>
          <w:tcPr>
            <w:tcW w:w="979" w:type="dxa"/>
            <w:tcBorders>
              <w:top w:val="nil"/>
              <w:left w:val="nil"/>
              <w:bottom w:val="nil"/>
              <w:right w:val="nil"/>
            </w:tcBorders>
            <w:shd w:val="clear" w:color="000000" w:fill="DDEBF7"/>
            <w:noWrap/>
            <w:vAlign w:val="bottom"/>
            <w:hideMark/>
          </w:tcPr>
          <w:p w14:paraId="6457C0CC"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2045</w:t>
            </w:r>
          </w:p>
        </w:tc>
      </w:tr>
      <w:tr w:rsidR="00DF791D" w:rsidRPr="00346E1C" w14:paraId="6A42683F" w14:textId="77777777" w:rsidTr="002F06AD">
        <w:trPr>
          <w:trHeight w:val="288"/>
        </w:trPr>
        <w:tc>
          <w:tcPr>
            <w:tcW w:w="1182" w:type="dxa"/>
            <w:tcBorders>
              <w:top w:val="nil"/>
              <w:left w:val="nil"/>
              <w:bottom w:val="nil"/>
              <w:right w:val="nil"/>
            </w:tcBorders>
            <w:shd w:val="clear" w:color="auto" w:fill="auto"/>
            <w:noWrap/>
            <w:vAlign w:val="bottom"/>
            <w:hideMark/>
          </w:tcPr>
          <w:p w14:paraId="424483FC"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t>Perry Hall</w:t>
            </w:r>
          </w:p>
        </w:tc>
        <w:tc>
          <w:tcPr>
            <w:tcW w:w="979" w:type="dxa"/>
            <w:tcBorders>
              <w:top w:val="nil"/>
              <w:left w:val="nil"/>
              <w:bottom w:val="nil"/>
              <w:right w:val="nil"/>
            </w:tcBorders>
            <w:shd w:val="clear" w:color="auto" w:fill="auto"/>
            <w:noWrap/>
            <w:vAlign w:val="bottom"/>
            <w:hideMark/>
          </w:tcPr>
          <w:p w14:paraId="5988413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29,742</w:t>
            </w:r>
          </w:p>
        </w:tc>
        <w:tc>
          <w:tcPr>
            <w:tcW w:w="979" w:type="dxa"/>
            <w:tcBorders>
              <w:top w:val="nil"/>
              <w:left w:val="nil"/>
              <w:bottom w:val="nil"/>
              <w:right w:val="nil"/>
            </w:tcBorders>
            <w:shd w:val="clear" w:color="auto" w:fill="auto"/>
            <w:noWrap/>
            <w:vAlign w:val="bottom"/>
            <w:hideMark/>
          </w:tcPr>
          <w:p w14:paraId="5B3A1585"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30,136</w:t>
            </w:r>
          </w:p>
        </w:tc>
        <w:tc>
          <w:tcPr>
            <w:tcW w:w="979" w:type="dxa"/>
            <w:tcBorders>
              <w:top w:val="nil"/>
              <w:left w:val="nil"/>
              <w:bottom w:val="nil"/>
              <w:right w:val="nil"/>
            </w:tcBorders>
            <w:shd w:val="clear" w:color="auto" w:fill="auto"/>
            <w:noWrap/>
            <w:vAlign w:val="bottom"/>
            <w:hideMark/>
          </w:tcPr>
          <w:p w14:paraId="5E5880E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30,089</w:t>
            </w:r>
          </w:p>
        </w:tc>
        <w:tc>
          <w:tcPr>
            <w:tcW w:w="979" w:type="dxa"/>
            <w:tcBorders>
              <w:top w:val="nil"/>
              <w:left w:val="nil"/>
              <w:bottom w:val="nil"/>
              <w:right w:val="nil"/>
            </w:tcBorders>
            <w:shd w:val="clear" w:color="auto" w:fill="auto"/>
            <w:noWrap/>
            <w:vAlign w:val="bottom"/>
            <w:hideMark/>
          </w:tcPr>
          <w:p w14:paraId="04562C36"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30,175</w:t>
            </w:r>
          </w:p>
        </w:tc>
        <w:tc>
          <w:tcPr>
            <w:tcW w:w="979" w:type="dxa"/>
            <w:tcBorders>
              <w:top w:val="nil"/>
              <w:left w:val="nil"/>
              <w:bottom w:val="nil"/>
              <w:right w:val="nil"/>
            </w:tcBorders>
            <w:shd w:val="clear" w:color="auto" w:fill="auto"/>
            <w:noWrap/>
            <w:vAlign w:val="bottom"/>
            <w:hideMark/>
          </w:tcPr>
          <w:p w14:paraId="78EAC49E"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30,513</w:t>
            </w:r>
          </w:p>
        </w:tc>
        <w:tc>
          <w:tcPr>
            <w:tcW w:w="979" w:type="dxa"/>
            <w:tcBorders>
              <w:top w:val="nil"/>
              <w:left w:val="nil"/>
              <w:bottom w:val="nil"/>
              <w:right w:val="nil"/>
            </w:tcBorders>
            <w:shd w:val="clear" w:color="auto" w:fill="auto"/>
            <w:noWrap/>
            <w:vAlign w:val="bottom"/>
            <w:hideMark/>
          </w:tcPr>
          <w:p w14:paraId="6185D9A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30,910</w:t>
            </w:r>
          </w:p>
        </w:tc>
        <w:tc>
          <w:tcPr>
            <w:tcW w:w="979" w:type="dxa"/>
            <w:tcBorders>
              <w:top w:val="nil"/>
              <w:left w:val="nil"/>
              <w:bottom w:val="nil"/>
              <w:right w:val="nil"/>
            </w:tcBorders>
            <w:shd w:val="clear" w:color="auto" w:fill="auto"/>
            <w:noWrap/>
            <w:vAlign w:val="bottom"/>
            <w:hideMark/>
          </w:tcPr>
          <w:p w14:paraId="66FBF066"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31,248</w:t>
            </w:r>
          </w:p>
        </w:tc>
      </w:tr>
      <w:tr w:rsidR="00DF791D" w:rsidRPr="00346E1C" w14:paraId="160280FD" w14:textId="77777777" w:rsidTr="002F06AD">
        <w:trPr>
          <w:trHeight w:val="288"/>
        </w:trPr>
        <w:tc>
          <w:tcPr>
            <w:tcW w:w="1182" w:type="dxa"/>
            <w:tcBorders>
              <w:top w:val="nil"/>
              <w:left w:val="nil"/>
              <w:bottom w:val="nil"/>
              <w:right w:val="nil"/>
            </w:tcBorders>
            <w:shd w:val="clear" w:color="auto" w:fill="auto"/>
            <w:noWrap/>
            <w:vAlign w:val="bottom"/>
            <w:hideMark/>
          </w:tcPr>
          <w:p w14:paraId="10A62802"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t>County</w:t>
            </w:r>
          </w:p>
        </w:tc>
        <w:tc>
          <w:tcPr>
            <w:tcW w:w="979" w:type="dxa"/>
            <w:tcBorders>
              <w:top w:val="nil"/>
              <w:left w:val="nil"/>
              <w:bottom w:val="nil"/>
              <w:right w:val="nil"/>
            </w:tcBorders>
            <w:shd w:val="clear" w:color="auto" w:fill="auto"/>
            <w:noWrap/>
            <w:vAlign w:val="bottom"/>
            <w:hideMark/>
          </w:tcPr>
          <w:p w14:paraId="5159968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828,445</w:t>
            </w:r>
          </w:p>
        </w:tc>
        <w:tc>
          <w:tcPr>
            <w:tcW w:w="979" w:type="dxa"/>
            <w:tcBorders>
              <w:top w:val="nil"/>
              <w:left w:val="nil"/>
              <w:bottom w:val="nil"/>
              <w:right w:val="nil"/>
            </w:tcBorders>
            <w:shd w:val="clear" w:color="auto" w:fill="auto"/>
            <w:noWrap/>
            <w:vAlign w:val="bottom"/>
            <w:hideMark/>
          </w:tcPr>
          <w:p w14:paraId="74F00BDC"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849,846</w:t>
            </w:r>
          </w:p>
        </w:tc>
        <w:tc>
          <w:tcPr>
            <w:tcW w:w="979" w:type="dxa"/>
            <w:tcBorders>
              <w:top w:val="nil"/>
              <w:left w:val="nil"/>
              <w:bottom w:val="nil"/>
              <w:right w:val="nil"/>
            </w:tcBorders>
            <w:shd w:val="clear" w:color="auto" w:fill="auto"/>
            <w:noWrap/>
            <w:vAlign w:val="bottom"/>
            <w:hideMark/>
          </w:tcPr>
          <w:p w14:paraId="3803E2D2"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858,083</w:t>
            </w:r>
          </w:p>
        </w:tc>
        <w:tc>
          <w:tcPr>
            <w:tcW w:w="979" w:type="dxa"/>
            <w:tcBorders>
              <w:top w:val="nil"/>
              <w:left w:val="nil"/>
              <w:bottom w:val="nil"/>
              <w:right w:val="nil"/>
            </w:tcBorders>
            <w:shd w:val="clear" w:color="auto" w:fill="auto"/>
            <w:noWrap/>
            <w:vAlign w:val="bottom"/>
            <w:hideMark/>
          </w:tcPr>
          <w:p w14:paraId="08215B59"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866,117</w:t>
            </w:r>
          </w:p>
        </w:tc>
        <w:tc>
          <w:tcPr>
            <w:tcW w:w="979" w:type="dxa"/>
            <w:tcBorders>
              <w:top w:val="nil"/>
              <w:left w:val="nil"/>
              <w:bottom w:val="nil"/>
              <w:right w:val="nil"/>
            </w:tcBorders>
            <w:shd w:val="clear" w:color="auto" w:fill="auto"/>
            <w:noWrap/>
            <w:vAlign w:val="bottom"/>
            <w:hideMark/>
          </w:tcPr>
          <w:p w14:paraId="02BA1CA2"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878,444</w:t>
            </w:r>
          </w:p>
        </w:tc>
        <w:tc>
          <w:tcPr>
            <w:tcW w:w="979" w:type="dxa"/>
            <w:tcBorders>
              <w:top w:val="nil"/>
              <w:left w:val="nil"/>
              <w:bottom w:val="nil"/>
              <w:right w:val="nil"/>
            </w:tcBorders>
            <w:shd w:val="clear" w:color="auto" w:fill="auto"/>
            <w:noWrap/>
            <w:vAlign w:val="bottom"/>
            <w:hideMark/>
          </w:tcPr>
          <w:p w14:paraId="38E92847"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892,653</w:t>
            </w:r>
          </w:p>
        </w:tc>
        <w:tc>
          <w:tcPr>
            <w:tcW w:w="979" w:type="dxa"/>
            <w:tcBorders>
              <w:top w:val="nil"/>
              <w:left w:val="nil"/>
              <w:bottom w:val="nil"/>
              <w:right w:val="nil"/>
            </w:tcBorders>
            <w:shd w:val="clear" w:color="auto" w:fill="auto"/>
            <w:noWrap/>
            <w:vAlign w:val="bottom"/>
            <w:hideMark/>
          </w:tcPr>
          <w:p w14:paraId="63BAF2D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903,503</w:t>
            </w:r>
          </w:p>
        </w:tc>
      </w:tr>
      <w:tr w:rsidR="00DF791D" w:rsidRPr="00346E1C" w14:paraId="12AD50A3" w14:textId="77777777" w:rsidTr="002F06AD">
        <w:trPr>
          <w:trHeight w:val="288"/>
        </w:trPr>
        <w:tc>
          <w:tcPr>
            <w:tcW w:w="1182" w:type="dxa"/>
            <w:tcBorders>
              <w:top w:val="nil"/>
              <w:left w:val="nil"/>
              <w:bottom w:val="nil"/>
              <w:right w:val="nil"/>
            </w:tcBorders>
            <w:shd w:val="clear" w:color="auto" w:fill="auto"/>
            <w:noWrap/>
            <w:vAlign w:val="bottom"/>
            <w:hideMark/>
          </w:tcPr>
          <w:p w14:paraId="791B38CE" w14:textId="77777777" w:rsidR="00DF791D" w:rsidRPr="00346E1C" w:rsidRDefault="00DF791D" w:rsidP="002F06AD">
            <w:pPr>
              <w:jc w:val="center"/>
              <w:rPr>
                <w:rFonts w:ascii="Calibri" w:eastAsia="Times New Roman" w:hAnsi="Calibri" w:cs="Calibri"/>
                <w:color w:val="0070C0"/>
                <w:sz w:val="22"/>
                <w:szCs w:val="22"/>
              </w:rPr>
            </w:pPr>
          </w:p>
        </w:tc>
        <w:tc>
          <w:tcPr>
            <w:tcW w:w="979" w:type="dxa"/>
            <w:tcBorders>
              <w:top w:val="nil"/>
              <w:left w:val="nil"/>
              <w:bottom w:val="nil"/>
              <w:right w:val="nil"/>
            </w:tcBorders>
            <w:shd w:val="clear" w:color="auto" w:fill="auto"/>
            <w:noWrap/>
            <w:vAlign w:val="bottom"/>
            <w:hideMark/>
          </w:tcPr>
          <w:p w14:paraId="245F414E" w14:textId="77777777" w:rsidR="00DF791D" w:rsidRPr="00346E1C" w:rsidRDefault="00DF791D" w:rsidP="002F06AD">
            <w:pP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5591A96"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65DD0BE"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81E0ABA"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38E453C"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402C31A"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90367AD" w14:textId="77777777" w:rsidR="00DF791D" w:rsidRPr="00346E1C" w:rsidRDefault="00DF791D" w:rsidP="002F06AD">
            <w:pPr>
              <w:jc w:val="center"/>
              <w:rPr>
                <w:rFonts w:ascii="Times New Roman" w:eastAsia="Times New Roman" w:hAnsi="Times New Roman" w:cs="Times New Roman"/>
                <w:sz w:val="20"/>
                <w:szCs w:val="20"/>
              </w:rPr>
            </w:pPr>
          </w:p>
        </w:tc>
      </w:tr>
      <w:tr w:rsidR="00DF791D" w:rsidRPr="00346E1C" w14:paraId="1258F7F6" w14:textId="77777777" w:rsidTr="002F06AD">
        <w:trPr>
          <w:trHeight w:val="288"/>
        </w:trPr>
        <w:tc>
          <w:tcPr>
            <w:tcW w:w="1182" w:type="dxa"/>
            <w:tcBorders>
              <w:top w:val="nil"/>
              <w:left w:val="nil"/>
              <w:bottom w:val="nil"/>
              <w:right w:val="nil"/>
            </w:tcBorders>
            <w:shd w:val="clear" w:color="auto" w:fill="auto"/>
            <w:noWrap/>
            <w:vAlign w:val="bottom"/>
            <w:hideMark/>
          </w:tcPr>
          <w:p w14:paraId="1DFB2933"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Household</w:t>
            </w:r>
          </w:p>
        </w:tc>
        <w:tc>
          <w:tcPr>
            <w:tcW w:w="979" w:type="dxa"/>
            <w:tcBorders>
              <w:top w:val="nil"/>
              <w:left w:val="nil"/>
              <w:bottom w:val="nil"/>
              <w:right w:val="nil"/>
            </w:tcBorders>
            <w:shd w:val="clear" w:color="000000" w:fill="E2EFDA"/>
            <w:noWrap/>
            <w:vAlign w:val="bottom"/>
            <w:hideMark/>
          </w:tcPr>
          <w:p w14:paraId="476854E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2015</w:t>
            </w:r>
          </w:p>
        </w:tc>
        <w:tc>
          <w:tcPr>
            <w:tcW w:w="979" w:type="dxa"/>
            <w:tcBorders>
              <w:top w:val="nil"/>
              <w:left w:val="nil"/>
              <w:bottom w:val="nil"/>
              <w:right w:val="nil"/>
            </w:tcBorders>
            <w:shd w:val="clear" w:color="000000" w:fill="E2EFDA"/>
            <w:noWrap/>
            <w:vAlign w:val="bottom"/>
            <w:hideMark/>
          </w:tcPr>
          <w:p w14:paraId="088E17C9"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2020</w:t>
            </w:r>
          </w:p>
        </w:tc>
        <w:tc>
          <w:tcPr>
            <w:tcW w:w="979" w:type="dxa"/>
            <w:tcBorders>
              <w:top w:val="nil"/>
              <w:left w:val="nil"/>
              <w:bottom w:val="nil"/>
              <w:right w:val="nil"/>
            </w:tcBorders>
            <w:shd w:val="clear" w:color="000000" w:fill="E2EFDA"/>
            <w:noWrap/>
            <w:vAlign w:val="bottom"/>
            <w:hideMark/>
          </w:tcPr>
          <w:p w14:paraId="4E3322C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2025</w:t>
            </w:r>
          </w:p>
        </w:tc>
        <w:tc>
          <w:tcPr>
            <w:tcW w:w="979" w:type="dxa"/>
            <w:tcBorders>
              <w:top w:val="nil"/>
              <w:left w:val="nil"/>
              <w:bottom w:val="nil"/>
              <w:right w:val="nil"/>
            </w:tcBorders>
            <w:shd w:val="clear" w:color="000000" w:fill="E2EFDA"/>
            <w:noWrap/>
            <w:vAlign w:val="bottom"/>
            <w:hideMark/>
          </w:tcPr>
          <w:p w14:paraId="1ACA254E"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2030</w:t>
            </w:r>
          </w:p>
        </w:tc>
        <w:tc>
          <w:tcPr>
            <w:tcW w:w="979" w:type="dxa"/>
            <w:tcBorders>
              <w:top w:val="nil"/>
              <w:left w:val="nil"/>
              <w:bottom w:val="nil"/>
              <w:right w:val="nil"/>
            </w:tcBorders>
            <w:shd w:val="clear" w:color="000000" w:fill="E2EFDA"/>
            <w:noWrap/>
            <w:vAlign w:val="bottom"/>
            <w:hideMark/>
          </w:tcPr>
          <w:p w14:paraId="5805E239"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2035</w:t>
            </w:r>
          </w:p>
        </w:tc>
        <w:tc>
          <w:tcPr>
            <w:tcW w:w="979" w:type="dxa"/>
            <w:tcBorders>
              <w:top w:val="nil"/>
              <w:left w:val="nil"/>
              <w:bottom w:val="nil"/>
              <w:right w:val="nil"/>
            </w:tcBorders>
            <w:shd w:val="clear" w:color="000000" w:fill="E2EFDA"/>
            <w:noWrap/>
            <w:vAlign w:val="bottom"/>
            <w:hideMark/>
          </w:tcPr>
          <w:p w14:paraId="74C48A15"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2040</w:t>
            </w:r>
          </w:p>
        </w:tc>
        <w:tc>
          <w:tcPr>
            <w:tcW w:w="979" w:type="dxa"/>
            <w:tcBorders>
              <w:top w:val="nil"/>
              <w:left w:val="nil"/>
              <w:bottom w:val="nil"/>
              <w:right w:val="nil"/>
            </w:tcBorders>
            <w:shd w:val="clear" w:color="000000" w:fill="E2EFDA"/>
            <w:noWrap/>
            <w:vAlign w:val="bottom"/>
            <w:hideMark/>
          </w:tcPr>
          <w:p w14:paraId="32F23E9E"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2045</w:t>
            </w:r>
          </w:p>
        </w:tc>
      </w:tr>
      <w:tr w:rsidR="00DF791D" w:rsidRPr="00346E1C" w14:paraId="4B12EC99" w14:textId="77777777" w:rsidTr="002F06AD">
        <w:trPr>
          <w:trHeight w:val="288"/>
        </w:trPr>
        <w:tc>
          <w:tcPr>
            <w:tcW w:w="1182" w:type="dxa"/>
            <w:tcBorders>
              <w:top w:val="nil"/>
              <w:left w:val="nil"/>
              <w:bottom w:val="nil"/>
              <w:right w:val="nil"/>
            </w:tcBorders>
            <w:shd w:val="clear" w:color="auto" w:fill="auto"/>
            <w:noWrap/>
            <w:vAlign w:val="bottom"/>
            <w:hideMark/>
          </w:tcPr>
          <w:p w14:paraId="7A2D538F"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Perry Hall</w:t>
            </w:r>
          </w:p>
        </w:tc>
        <w:tc>
          <w:tcPr>
            <w:tcW w:w="979" w:type="dxa"/>
            <w:tcBorders>
              <w:top w:val="nil"/>
              <w:left w:val="nil"/>
              <w:bottom w:val="nil"/>
              <w:right w:val="nil"/>
            </w:tcBorders>
            <w:shd w:val="clear" w:color="auto" w:fill="auto"/>
            <w:noWrap/>
            <w:vAlign w:val="bottom"/>
            <w:hideMark/>
          </w:tcPr>
          <w:p w14:paraId="37EB81D2"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11,846</w:t>
            </w:r>
          </w:p>
        </w:tc>
        <w:tc>
          <w:tcPr>
            <w:tcW w:w="979" w:type="dxa"/>
            <w:tcBorders>
              <w:top w:val="nil"/>
              <w:left w:val="nil"/>
              <w:bottom w:val="nil"/>
              <w:right w:val="nil"/>
            </w:tcBorders>
            <w:shd w:val="clear" w:color="auto" w:fill="auto"/>
            <w:noWrap/>
            <w:vAlign w:val="bottom"/>
            <w:hideMark/>
          </w:tcPr>
          <w:p w14:paraId="60E02C47"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11,868</w:t>
            </w:r>
          </w:p>
        </w:tc>
        <w:tc>
          <w:tcPr>
            <w:tcW w:w="979" w:type="dxa"/>
            <w:tcBorders>
              <w:top w:val="nil"/>
              <w:left w:val="nil"/>
              <w:bottom w:val="nil"/>
              <w:right w:val="nil"/>
            </w:tcBorders>
            <w:shd w:val="clear" w:color="auto" w:fill="auto"/>
            <w:noWrap/>
            <w:vAlign w:val="bottom"/>
            <w:hideMark/>
          </w:tcPr>
          <w:p w14:paraId="130F9B9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11,906</w:t>
            </w:r>
          </w:p>
        </w:tc>
        <w:tc>
          <w:tcPr>
            <w:tcW w:w="979" w:type="dxa"/>
            <w:tcBorders>
              <w:top w:val="nil"/>
              <w:left w:val="nil"/>
              <w:bottom w:val="nil"/>
              <w:right w:val="nil"/>
            </w:tcBorders>
            <w:shd w:val="clear" w:color="auto" w:fill="auto"/>
            <w:noWrap/>
            <w:vAlign w:val="bottom"/>
            <w:hideMark/>
          </w:tcPr>
          <w:p w14:paraId="58D032F0"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11,943</w:t>
            </w:r>
          </w:p>
        </w:tc>
        <w:tc>
          <w:tcPr>
            <w:tcW w:w="979" w:type="dxa"/>
            <w:tcBorders>
              <w:top w:val="nil"/>
              <w:left w:val="nil"/>
              <w:bottom w:val="nil"/>
              <w:right w:val="nil"/>
            </w:tcBorders>
            <w:shd w:val="clear" w:color="auto" w:fill="auto"/>
            <w:noWrap/>
            <w:vAlign w:val="bottom"/>
            <w:hideMark/>
          </w:tcPr>
          <w:p w14:paraId="463F078A"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12,078</w:t>
            </w:r>
          </w:p>
        </w:tc>
        <w:tc>
          <w:tcPr>
            <w:tcW w:w="979" w:type="dxa"/>
            <w:tcBorders>
              <w:top w:val="nil"/>
              <w:left w:val="nil"/>
              <w:bottom w:val="nil"/>
              <w:right w:val="nil"/>
            </w:tcBorders>
            <w:shd w:val="clear" w:color="auto" w:fill="auto"/>
            <w:noWrap/>
            <w:vAlign w:val="bottom"/>
            <w:hideMark/>
          </w:tcPr>
          <w:p w14:paraId="7B11179D"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12,237</w:t>
            </w:r>
          </w:p>
        </w:tc>
        <w:tc>
          <w:tcPr>
            <w:tcW w:w="979" w:type="dxa"/>
            <w:tcBorders>
              <w:top w:val="nil"/>
              <w:left w:val="nil"/>
              <w:bottom w:val="nil"/>
              <w:right w:val="nil"/>
            </w:tcBorders>
            <w:shd w:val="clear" w:color="auto" w:fill="auto"/>
            <w:noWrap/>
            <w:vAlign w:val="bottom"/>
            <w:hideMark/>
          </w:tcPr>
          <w:p w14:paraId="59C3E41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12,371</w:t>
            </w:r>
          </w:p>
        </w:tc>
      </w:tr>
      <w:tr w:rsidR="00DF791D" w:rsidRPr="00346E1C" w14:paraId="67978561" w14:textId="77777777" w:rsidTr="002F06AD">
        <w:trPr>
          <w:trHeight w:val="288"/>
        </w:trPr>
        <w:tc>
          <w:tcPr>
            <w:tcW w:w="1182" w:type="dxa"/>
            <w:tcBorders>
              <w:top w:val="nil"/>
              <w:left w:val="nil"/>
              <w:bottom w:val="nil"/>
              <w:right w:val="nil"/>
            </w:tcBorders>
            <w:shd w:val="clear" w:color="auto" w:fill="auto"/>
            <w:noWrap/>
            <w:vAlign w:val="bottom"/>
            <w:hideMark/>
          </w:tcPr>
          <w:p w14:paraId="300B8F09"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County</w:t>
            </w:r>
          </w:p>
        </w:tc>
        <w:tc>
          <w:tcPr>
            <w:tcW w:w="979" w:type="dxa"/>
            <w:tcBorders>
              <w:top w:val="nil"/>
              <w:left w:val="nil"/>
              <w:bottom w:val="nil"/>
              <w:right w:val="nil"/>
            </w:tcBorders>
            <w:shd w:val="clear" w:color="auto" w:fill="auto"/>
            <w:noWrap/>
            <w:vAlign w:val="bottom"/>
            <w:hideMark/>
          </w:tcPr>
          <w:p w14:paraId="467B23D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322,738</w:t>
            </w:r>
          </w:p>
        </w:tc>
        <w:tc>
          <w:tcPr>
            <w:tcW w:w="979" w:type="dxa"/>
            <w:tcBorders>
              <w:top w:val="nil"/>
              <w:left w:val="nil"/>
              <w:bottom w:val="nil"/>
              <w:right w:val="nil"/>
            </w:tcBorders>
            <w:shd w:val="clear" w:color="auto" w:fill="auto"/>
            <w:noWrap/>
            <w:vAlign w:val="bottom"/>
            <w:hideMark/>
          </w:tcPr>
          <w:p w14:paraId="7D1B95B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328,174</w:t>
            </w:r>
          </w:p>
        </w:tc>
        <w:tc>
          <w:tcPr>
            <w:tcW w:w="979" w:type="dxa"/>
            <w:tcBorders>
              <w:top w:val="nil"/>
              <w:left w:val="nil"/>
              <w:bottom w:val="nil"/>
              <w:right w:val="nil"/>
            </w:tcBorders>
            <w:shd w:val="clear" w:color="auto" w:fill="auto"/>
            <w:noWrap/>
            <w:vAlign w:val="bottom"/>
            <w:hideMark/>
          </w:tcPr>
          <w:p w14:paraId="264BBC2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332,906</w:t>
            </w:r>
          </w:p>
        </w:tc>
        <w:tc>
          <w:tcPr>
            <w:tcW w:w="979" w:type="dxa"/>
            <w:tcBorders>
              <w:top w:val="nil"/>
              <w:left w:val="nil"/>
              <w:bottom w:val="nil"/>
              <w:right w:val="nil"/>
            </w:tcBorders>
            <w:shd w:val="clear" w:color="auto" w:fill="auto"/>
            <w:noWrap/>
            <w:vAlign w:val="bottom"/>
            <w:hideMark/>
          </w:tcPr>
          <w:p w14:paraId="427D742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336,349</w:t>
            </w:r>
          </w:p>
        </w:tc>
        <w:tc>
          <w:tcPr>
            <w:tcW w:w="979" w:type="dxa"/>
            <w:tcBorders>
              <w:top w:val="nil"/>
              <w:left w:val="nil"/>
              <w:bottom w:val="nil"/>
              <w:right w:val="nil"/>
            </w:tcBorders>
            <w:shd w:val="clear" w:color="auto" w:fill="auto"/>
            <w:noWrap/>
            <w:vAlign w:val="bottom"/>
            <w:hideMark/>
          </w:tcPr>
          <w:p w14:paraId="61DD525B"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341,413</w:t>
            </w:r>
          </w:p>
        </w:tc>
        <w:tc>
          <w:tcPr>
            <w:tcW w:w="979" w:type="dxa"/>
            <w:tcBorders>
              <w:top w:val="nil"/>
              <w:left w:val="nil"/>
              <w:bottom w:val="nil"/>
              <w:right w:val="nil"/>
            </w:tcBorders>
            <w:shd w:val="clear" w:color="auto" w:fill="auto"/>
            <w:noWrap/>
            <w:vAlign w:val="bottom"/>
            <w:hideMark/>
          </w:tcPr>
          <w:p w14:paraId="02AD5FA1"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346,943</w:t>
            </w:r>
          </w:p>
        </w:tc>
        <w:tc>
          <w:tcPr>
            <w:tcW w:w="979" w:type="dxa"/>
            <w:tcBorders>
              <w:top w:val="nil"/>
              <w:left w:val="nil"/>
              <w:bottom w:val="nil"/>
              <w:right w:val="nil"/>
            </w:tcBorders>
            <w:shd w:val="clear" w:color="auto" w:fill="auto"/>
            <w:noWrap/>
            <w:vAlign w:val="bottom"/>
            <w:hideMark/>
          </w:tcPr>
          <w:p w14:paraId="503A4C8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351,163</w:t>
            </w:r>
          </w:p>
        </w:tc>
      </w:tr>
    </w:tbl>
    <w:p w14:paraId="3AE4C802" w14:textId="77777777" w:rsidR="00DF791D" w:rsidRDefault="00DF791D" w:rsidP="00DF791D"/>
    <w:p w14:paraId="0FADF4F6" w14:textId="1F9B4062" w:rsidR="00F10FC6" w:rsidRDefault="00F10FC6" w:rsidP="0098378B">
      <w:pPr>
        <w:rPr>
          <w:b/>
        </w:rPr>
      </w:pPr>
    </w:p>
    <w:p w14:paraId="2201C03A" w14:textId="77777777" w:rsidR="00F10FC6" w:rsidRPr="002726DC" w:rsidRDefault="00F10FC6" w:rsidP="0098378B">
      <w:pPr>
        <w:rPr>
          <w:b/>
        </w:rPr>
      </w:pPr>
    </w:p>
    <w:sectPr w:rsidR="00F10FC6" w:rsidRPr="002726DC" w:rsidSect="008D6A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NewRomanPS">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158DC"/>
    <w:multiLevelType w:val="hybridMultilevel"/>
    <w:tmpl w:val="FF2CF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8E702CC"/>
    <w:multiLevelType w:val="multilevel"/>
    <w:tmpl w:val="D91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74"/>
    <w:rsid w:val="0000041A"/>
    <w:rsid w:val="00022CCE"/>
    <w:rsid w:val="00096D13"/>
    <w:rsid w:val="000E0E6D"/>
    <w:rsid w:val="000F4DC2"/>
    <w:rsid w:val="00111CBE"/>
    <w:rsid w:val="00117EBB"/>
    <w:rsid w:val="00124152"/>
    <w:rsid w:val="0014080F"/>
    <w:rsid w:val="00176074"/>
    <w:rsid w:val="00241FF5"/>
    <w:rsid w:val="002726DC"/>
    <w:rsid w:val="002746E7"/>
    <w:rsid w:val="002E4100"/>
    <w:rsid w:val="00394589"/>
    <w:rsid w:val="003B5B87"/>
    <w:rsid w:val="003F0BB5"/>
    <w:rsid w:val="004C3CAB"/>
    <w:rsid w:val="004D7CC0"/>
    <w:rsid w:val="004E44A1"/>
    <w:rsid w:val="00646D60"/>
    <w:rsid w:val="00686967"/>
    <w:rsid w:val="00726386"/>
    <w:rsid w:val="007A650B"/>
    <w:rsid w:val="007C5000"/>
    <w:rsid w:val="008D6A26"/>
    <w:rsid w:val="008E6BDB"/>
    <w:rsid w:val="008F23A3"/>
    <w:rsid w:val="0098378B"/>
    <w:rsid w:val="009E4DDE"/>
    <w:rsid w:val="00A42FA8"/>
    <w:rsid w:val="00A51104"/>
    <w:rsid w:val="00A6403A"/>
    <w:rsid w:val="00B925F4"/>
    <w:rsid w:val="00BB5DE8"/>
    <w:rsid w:val="00D76E6B"/>
    <w:rsid w:val="00DA6B99"/>
    <w:rsid w:val="00DF791D"/>
    <w:rsid w:val="00E140B2"/>
    <w:rsid w:val="00E45E94"/>
    <w:rsid w:val="00E73E62"/>
    <w:rsid w:val="00EA3A5C"/>
    <w:rsid w:val="00EA55A2"/>
    <w:rsid w:val="00F10FC6"/>
    <w:rsid w:val="00FC4721"/>
    <w:rsid w:val="00FD3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694B"/>
  <w15:chartTrackingRefBased/>
  <w15:docId w15:val="{0270CB93-4F9C-734A-BDC2-D0F0B97E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74"/>
    <w:pPr>
      <w:ind w:left="720"/>
      <w:contextualSpacing/>
    </w:pPr>
  </w:style>
  <w:style w:type="character" w:styleId="Hyperlink">
    <w:name w:val="Hyperlink"/>
    <w:basedOn w:val="DefaultParagraphFont"/>
    <w:uiPriority w:val="99"/>
    <w:unhideWhenUsed/>
    <w:rsid w:val="0098378B"/>
    <w:rPr>
      <w:color w:val="0563C1" w:themeColor="hyperlink"/>
      <w:u w:val="single"/>
    </w:rPr>
  </w:style>
  <w:style w:type="character" w:customStyle="1" w:styleId="UnresolvedMention1">
    <w:name w:val="Unresolved Mention1"/>
    <w:basedOn w:val="DefaultParagraphFont"/>
    <w:uiPriority w:val="99"/>
    <w:semiHidden/>
    <w:unhideWhenUsed/>
    <w:rsid w:val="0098378B"/>
    <w:rPr>
      <w:color w:val="605E5C"/>
      <w:shd w:val="clear" w:color="auto" w:fill="E1DFDD"/>
    </w:rPr>
  </w:style>
  <w:style w:type="character" w:styleId="UnresolvedMention">
    <w:name w:val="Unresolved Mention"/>
    <w:basedOn w:val="DefaultParagraphFont"/>
    <w:uiPriority w:val="99"/>
    <w:semiHidden/>
    <w:unhideWhenUsed/>
    <w:rsid w:val="00DF791D"/>
    <w:rPr>
      <w:color w:val="605E5C"/>
      <w:shd w:val="clear" w:color="auto" w:fill="E1DFDD"/>
    </w:rPr>
  </w:style>
  <w:style w:type="character" w:styleId="FollowedHyperlink">
    <w:name w:val="FollowedHyperlink"/>
    <w:basedOn w:val="DefaultParagraphFont"/>
    <w:uiPriority w:val="99"/>
    <w:semiHidden/>
    <w:unhideWhenUsed/>
    <w:rsid w:val="00D76E6B"/>
    <w:rPr>
      <w:color w:val="954F72" w:themeColor="followedHyperlink"/>
      <w:u w:val="single"/>
    </w:rPr>
  </w:style>
  <w:style w:type="paragraph" w:styleId="NormalWeb">
    <w:name w:val="Normal (Web)"/>
    <w:basedOn w:val="Normal"/>
    <w:uiPriority w:val="99"/>
    <w:unhideWhenUsed/>
    <w:rsid w:val="004E44A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7094">
      <w:bodyDiv w:val="1"/>
      <w:marLeft w:val="0"/>
      <w:marRight w:val="0"/>
      <w:marTop w:val="0"/>
      <w:marBottom w:val="0"/>
      <w:divBdr>
        <w:top w:val="none" w:sz="0" w:space="0" w:color="auto"/>
        <w:left w:val="none" w:sz="0" w:space="0" w:color="auto"/>
        <w:bottom w:val="none" w:sz="0" w:space="0" w:color="auto"/>
        <w:right w:val="none" w:sz="0" w:space="0" w:color="auto"/>
      </w:divBdr>
    </w:div>
    <w:div w:id="964578746">
      <w:bodyDiv w:val="1"/>
      <w:marLeft w:val="0"/>
      <w:marRight w:val="0"/>
      <w:marTop w:val="0"/>
      <w:marBottom w:val="0"/>
      <w:divBdr>
        <w:top w:val="none" w:sz="0" w:space="0" w:color="auto"/>
        <w:left w:val="none" w:sz="0" w:space="0" w:color="auto"/>
        <w:bottom w:val="none" w:sz="0" w:space="0" w:color="auto"/>
        <w:right w:val="none" w:sz="0" w:space="0" w:color="auto"/>
      </w:divBdr>
    </w:div>
    <w:div w:id="1061176888">
      <w:bodyDiv w:val="1"/>
      <w:marLeft w:val="0"/>
      <w:marRight w:val="0"/>
      <w:marTop w:val="0"/>
      <w:marBottom w:val="0"/>
      <w:divBdr>
        <w:top w:val="none" w:sz="0" w:space="0" w:color="auto"/>
        <w:left w:val="none" w:sz="0" w:space="0" w:color="auto"/>
        <w:bottom w:val="none" w:sz="0" w:space="0" w:color="auto"/>
        <w:right w:val="none" w:sz="0" w:space="0" w:color="auto"/>
      </w:divBdr>
    </w:div>
    <w:div w:id="1220047563">
      <w:bodyDiv w:val="1"/>
      <w:marLeft w:val="0"/>
      <w:marRight w:val="0"/>
      <w:marTop w:val="0"/>
      <w:marBottom w:val="0"/>
      <w:divBdr>
        <w:top w:val="none" w:sz="0" w:space="0" w:color="auto"/>
        <w:left w:val="none" w:sz="0" w:space="0" w:color="auto"/>
        <w:bottom w:val="none" w:sz="0" w:space="0" w:color="auto"/>
        <w:right w:val="none" w:sz="0" w:space="0" w:color="auto"/>
      </w:divBdr>
      <w:divsChild>
        <w:div w:id="1054622646">
          <w:marLeft w:val="0"/>
          <w:marRight w:val="0"/>
          <w:marTop w:val="0"/>
          <w:marBottom w:val="0"/>
          <w:divBdr>
            <w:top w:val="none" w:sz="0" w:space="0" w:color="auto"/>
            <w:left w:val="none" w:sz="0" w:space="0" w:color="auto"/>
            <w:bottom w:val="none" w:sz="0" w:space="0" w:color="auto"/>
            <w:right w:val="none" w:sz="0" w:space="0" w:color="auto"/>
          </w:divBdr>
          <w:divsChild>
            <w:div w:id="317002398">
              <w:marLeft w:val="0"/>
              <w:marRight w:val="0"/>
              <w:marTop w:val="0"/>
              <w:marBottom w:val="0"/>
              <w:divBdr>
                <w:top w:val="none" w:sz="0" w:space="0" w:color="auto"/>
                <w:left w:val="none" w:sz="0" w:space="0" w:color="auto"/>
                <w:bottom w:val="none" w:sz="0" w:space="0" w:color="auto"/>
                <w:right w:val="none" w:sz="0" w:space="0" w:color="auto"/>
              </w:divBdr>
              <w:divsChild>
                <w:div w:id="1829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7389">
      <w:bodyDiv w:val="1"/>
      <w:marLeft w:val="0"/>
      <w:marRight w:val="0"/>
      <w:marTop w:val="0"/>
      <w:marBottom w:val="0"/>
      <w:divBdr>
        <w:top w:val="none" w:sz="0" w:space="0" w:color="auto"/>
        <w:left w:val="none" w:sz="0" w:space="0" w:color="auto"/>
        <w:bottom w:val="none" w:sz="0" w:space="0" w:color="auto"/>
        <w:right w:val="none" w:sz="0" w:space="0" w:color="auto"/>
      </w:divBdr>
      <w:divsChild>
        <w:div w:id="1279944016">
          <w:marLeft w:val="0"/>
          <w:marRight w:val="0"/>
          <w:marTop w:val="0"/>
          <w:marBottom w:val="0"/>
          <w:divBdr>
            <w:top w:val="none" w:sz="0" w:space="0" w:color="auto"/>
            <w:left w:val="none" w:sz="0" w:space="0" w:color="auto"/>
            <w:bottom w:val="none" w:sz="0" w:space="0" w:color="auto"/>
            <w:right w:val="none" w:sz="0" w:space="0" w:color="auto"/>
          </w:divBdr>
          <w:divsChild>
            <w:div w:id="1629554774">
              <w:marLeft w:val="0"/>
              <w:marRight w:val="0"/>
              <w:marTop w:val="0"/>
              <w:marBottom w:val="0"/>
              <w:divBdr>
                <w:top w:val="none" w:sz="0" w:space="0" w:color="auto"/>
                <w:left w:val="none" w:sz="0" w:space="0" w:color="auto"/>
                <w:bottom w:val="none" w:sz="0" w:space="0" w:color="auto"/>
                <w:right w:val="none" w:sz="0" w:space="0" w:color="auto"/>
              </w:divBdr>
              <w:divsChild>
                <w:div w:id="7301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2938">
      <w:bodyDiv w:val="1"/>
      <w:marLeft w:val="0"/>
      <w:marRight w:val="0"/>
      <w:marTop w:val="0"/>
      <w:marBottom w:val="0"/>
      <w:divBdr>
        <w:top w:val="none" w:sz="0" w:space="0" w:color="auto"/>
        <w:left w:val="none" w:sz="0" w:space="0" w:color="auto"/>
        <w:bottom w:val="none" w:sz="0" w:space="0" w:color="auto"/>
        <w:right w:val="none" w:sz="0" w:space="0" w:color="auto"/>
      </w:divBdr>
    </w:div>
    <w:div w:id="1855614034">
      <w:bodyDiv w:val="1"/>
      <w:marLeft w:val="0"/>
      <w:marRight w:val="0"/>
      <w:marTop w:val="0"/>
      <w:marBottom w:val="0"/>
      <w:divBdr>
        <w:top w:val="none" w:sz="0" w:space="0" w:color="auto"/>
        <w:left w:val="none" w:sz="0" w:space="0" w:color="auto"/>
        <w:bottom w:val="none" w:sz="0" w:space="0" w:color="auto"/>
        <w:right w:val="none" w:sz="0" w:space="0" w:color="auto"/>
      </w:divBdr>
      <w:divsChild>
        <w:div w:id="1280256696">
          <w:marLeft w:val="0"/>
          <w:marRight w:val="0"/>
          <w:marTop w:val="0"/>
          <w:marBottom w:val="0"/>
          <w:divBdr>
            <w:top w:val="none" w:sz="0" w:space="0" w:color="auto"/>
            <w:left w:val="none" w:sz="0" w:space="0" w:color="auto"/>
            <w:bottom w:val="none" w:sz="0" w:space="0" w:color="auto"/>
            <w:right w:val="none" w:sz="0" w:space="0" w:color="auto"/>
          </w:divBdr>
          <w:divsChild>
            <w:div w:id="1881866435">
              <w:marLeft w:val="0"/>
              <w:marRight w:val="0"/>
              <w:marTop w:val="0"/>
              <w:marBottom w:val="0"/>
              <w:divBdr>
                <w:top w:val="none" w:sz="0" w:space="0" w:color="auto"/>
                <w:left w:val="none" w:sz="0" w:space="0" w:color="auto"/>
                <w:bottom w:val="none" w:sz="0" w:space="0" w:color="auto"/>
                <w:right w:val="none" w:sz="0" w:space="0" w:color="auto"/>
              </w:divBdr>
              <w:divsChild>
                <w:div w:id="12050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04799">
      <w:bodyDiv w:val="1"/>
      <w:marLeft w:val="0"/>
      <w:marRight w:val="0"/>
      <w:marTop w:val="0"/>
      <w:marBottom w:val="0"/>
      <w:divBdr>
        <w:top w:val="none" w:sz="0" w:space="0" w:color="auto"/>
        <w:left w:val="none" w:sz="0" w:space="0" w:color="auto"/>
        <w:bottom w:val="none" w:sz="0" w:space="0" w:color="auto"/>
        <w:right w:val="none" w:sz="0" w:space="0" w:color="auto"/>
      </w:divBdr>
      <w:divsChild>
        <w:div w:id="1271820586">
          <w:marLeft w:val="0"/>
          <w:marRight w:val="0"/>
          <w:marTop w:val="0"/>
          <w:marBottom w:val="0"/>
          <w:divBdr>
            <w:top w:val="none" w:sz="0" w:space="0" w:color="auto"/>
            <w:left w:val="none" w:sz="0" w:space="0" w:color="auto"/>
            <w:bottom w:val="none" w:sz="0" w:space="0" w:color="auto"/>
            <w:right w:val="none" w:sz="0" w:space="0" w:color="auto"/>
          </w:divBdr>
          <w:divsChild>
            <w:div w:id="619998231">
              <w:marLeft w:val="0"/>
              <w:marRight w:val="0"/>
              <w:marTop w:val="0"/>
              <w:marBottom w:val="0"/>
              <w:divBdr>
                <w:top w:val="none" w:sz="0" w:space="0" w:color="auto"/>
                <w:left w:val="none" w:sz="0" w:space="0" w:color="auto"/>
                <w:bottom w:val="none" w:sz="0" w:space="0" w:color="auto"/>
                <w:right w:val="none" w:sz="0" w:space="0" w:color="auto"/>
              </w:divBdr>
              <w:divsChild>
                <w:div w:id="13667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atkeller/Downloads/Population%20and%20Households%20in%20Perry%20Hall%20and%20County%20for%20PKeller%20%200603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tkeller/Downloads/Population%20and%20Households%20in%20Perry%20Hall%20and%20County%20for%20PKeller%20%200603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Perry Hall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Population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Compile!$B$2:$H$2</c:f>
              <c:numCache>
                <c:formatCode>#,##0</c:formatCode>
                <c:ptCount val="7"/>
                <c:pt idx="0">
                  <c:v>29742.299651108624</c:v>
                </c:pt>
                <c:pt idx="1">
                  <c:v>30135.66687091066</c:v>
                </c:pt>
                <c:pt idx="2">
                  <c:v>30088.840519562636</c:v>
                </c:pt>
                <c:pt idx="3">
                  <c:v>30174.821740547697</c:v>
                </c:pt>
                <c:pt idx="4">
                  <c:v>30513.283040619172</c:v>
                </c:pt>
                <c:pt idx="5">
                  <c:v>30909.859135984854</c:v>
                </c:pt>
                <c:pt idx="6">
                  <c:v>31248.320436056329</c:v>
                </c:pt>
              </c:numCache>
            </c:numRef>
          </c:val>
          <c:smooth val="0"/>
          <c:extLst>
            <c:ext xmlns:c16="http://schemas.microsoft.com/office/drawing/2014/chart" uri="{C3380CC4-5D6E-409C-BE32-E72D297353CC}">
              <c16:uniqueId val="{00000000-D1D6-5842-8207-E9BB817C5890}"/>
            </c:ext>
          </c:extLst>
        </c:ser>
        <c:ser>
          <c:idx val="1"/>
          <c:order val="1"/>
          <c:tx>
            <c:v>Households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Compile!$B$6:$H$6</c:f>
              <c:numCache>
                <c:formatCode>#,##0</c:formatCode>
                <c:ptCount val="7"/>
                <c:pt idx="0">
                  <c:v>11846.257874683131</c:v>
                </c:pt>
                <c:pt idx="1">
                  <c:v>11868.257874683131</c:v>
                </c:pt>
                <c:pt idx="2">
                  <c:v>11906.424541349796</c:v>
                </c:pt>
                <c:pt idx="3">
                  <c:v>11943.257874683131</c:v>
                </c:pt>
                <c:pt idx="4">
                  <c:v>12077.924541349799</c:v>
                </c:pt>
                <c:pt idx="5">
                  <c:v>12236.591208016463</c:v>
                </c:pt>
                <c:pt idx="6">
                  <c:v>12371.257874683131</c:v>
                </c:pt>
              </c:numCache>
            </c:numRef>
          </c:val>
          <c:smooth val="0"/>
          <c:extLst>
            <c:ext xmlns:c16="http://schemas.microsoft.com/office/drawing/2014/chart" uri="{C3380CC4-5D6E-409C-BE32-E72D297353CC}">
              <c16:uniqueId val="{00000001-D1D6-5842-8207-E9BB817C5890}"/>
            </c:ext>
          </c:extLst>
        </c:ser>
        <c:dLbls>
          <c:showLegendKey val="0"/>
          <c:showVal val="0"/>
          <c:showCatName val="0"/>
          <c:showSerName val="0"/>
          <c:showPercent val="0"/>
          <c:showBubbleSize val="0"/>
        </c:dLbls>
        <c:marker val="1"/>
        <c:smooth val="0"/>
        <c:axId val="423612544"/>
        <c:axId val="423615168"/>
      </c:lineChart>
      <c:catAx>
        <c:axId val="4236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5168"/>
        <c:crosses val="autoZero"/>
        <c:auto val="1"/>
        <c:lblAlgn val="ctr"/>
        <c:lblOffset val="100"/>
        <c:noMultiLvlLbl val="0"/>
      </c:catAx>
      <c:valAx>
        <c:axId val="42361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Population</c:v>
          </c:tx>
          <c:spPr>
            <a:ln w="28575" cap="rnd">
              <a:solidFill>
                <a:srgbClr val="00B050"/>
              </a:solidFill>
              <a:round/>
            </a:ln>
            <a:effectLst/>
          </c:spPr>
          <c:marker>
            <c:symbol val="circle"/>
            <c:size val="5"/>
            <c:spPr>
              <a:solidFill>
                <a:schemeClr val="accent1"/>
              </a:solidFill>
              <a:ln w="9525">
                <a:solidFill>
                  <a:srgbClr val="00B050"/>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Compile!$B$3:$H$3</c:f>
              <c:numCache>
                <c:formatCode>#,##0</c:formatCode>
                <c:ptCount val="7"/>
                <c:pt idx="0">
                  <c:v>828445.3290145041</c:v>
                </c:pt>
                <c:pt idx="1">
                  <c:v>849846.05835504038</c:v>
                </c:pt>
                <c:pt idx="2">
                  <c:v>858083.43310409365</c:v>
                </c:pt>
                <c:pt idx="3">
                  <c:v>866116.72208869539</c:v>
                </c:pt>
                <c:pt idx="4">
                  <c:v>878443.93386916921</c:v>
                </c:pt>
                <c:pt idx="5">
                  <c:v>892653.17872572632</c:v>
                </c:pt>
                <c:pt idx="6">
                  <c:v>903503.39050620061</c:v>
                </c:pt>
              </c:numCache>
            </c:numRef>
          </c:val>
          <c:smooth val="0"/>
          <c:extLst>
            <c:ext xmlns:c16="http://schemas.microsoft.com/office/drawing/2014/chart" uri="{C3380CC4-5D6E-409C-BE32-E72D297353CC}">
              <c16:uniqueId val="{00000000-604B-9A4D-A4C3-B4BC6414A21B}"/>
            </c:ext>
          </c:extLst>
        </c:ser>
        <c:ser>
          <c:idx val="1"/>
          <c:order val="1"/>
          <c:tx>
            <c:v>Households</c:v>
          </c:tx>
          <c:spPr>
            <a:ln w="28575" cap="rnd">
              <a:solidFill>
                <a:srgbClr val="FF3399"/>
              </a:solidFill>
              <a:round/>
            </a:ln>
            <a:effectLst/>
          </c:spPr>
          <c:marker>
            <c:symbol val="circle"/>
            <c:size val="5"/>
            <c:spPr>
              <a:solidFill>
                <a:schemeClr val="accent2"/>
              </a:solidFill>
              <a:ln w="9525">
                <a:solidFill>
                  <a:srgbClr val="FF3399"/>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Compile!$B$7:$H$7</c:f>
              <c:numCache>
                <c:formatCode>#,##0</c:formatCode>
                <c:ptCount val="7"/>
                <c:pt idx="0">
                  <c:v>322737.99999999983</c:v>
                </c:pt>
                <c:pt idx="1">
                  <c:v>328173.99999999983</c:v>
                </c:pt>
                <c:pt idx="2">
                  <c:v>332906.16666666657</c:v>
                </c:pt>
                <c:pt idx="3">
                  <c:v>336348.99999999977</c:v>
                </c:pt>
                <c:pt idx="4">
                  <c:v>341413</c:v>
                </c:pt>
                <c:pt idx="5">
                  <c:v>346943.00000000023</c:v>
                </c:pt>
                <c:pt idx="6">
                  <c:v>351162.99999999971</c:v>
                </c:pt>
              </c:numCache>
            </c:numRef>
          </c:val>
          <c:smooth val="0"/>
          <c:extLst>
            <c:ext xmlns:c16="http://schemas.microsoft.com/office/drawing/2014/chart" uri="{C3380CC4-5D6E-409C-BE32-E72D297353CC}">
              <c16:uniqueId val="{00000001-604B-9A4D-A4C3-B4BC6414A21B}"/>
            </c:ext>
          </c:extLst>
        </c:ser>
        <c:dLbls>
          <c:showLegendKey val="0"/>
          <c:showVal val="0"/>
          <c:showCatName val="0"/>
          <c:showSerName val="0"/>
          <c:showPercent val="0"/>
          <c:showBubbleSize val="0"/>
        </c:dLbls>
        <c:marker val="1"/>
        <c:smooth val="0"/>
        <c:axId val="534346672"/>
        <c:axId val="534345032"/>
      </c:lineChart>
      <c:catAx>
        <c:axId val="5343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45032"/>
        <c:crosses val="autoZero"/>
        <c:auto val="1"/>
        <c:lblAlgn val="ctr"/>
        <c:lblOffset val="100"/>
        <c:noMultiLvlLbl val="0"/>
      </c:catAx>
      <c:valAx>
        <c:axId val="534345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4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Keller</dc:creator>
  <cp:keywords/>
  <dc:description/>
  <cp:lastModifiedBy>Pat Keller</cp:lastModifiedBy>
  <cp:revision>10</cp:revision>
  <cp:lastPrinted>2020-06-08T12:27:00Z</cp:lastPrinted>
  <dcterms:created xsi:type="dcterms:W3CDTF">2020-05-28T16:05:00Z</dcterms:created>
  <dcterms:modified xsi:type="dcterms:W3CDTF">2020-06-10T12:30:00Z</dcterms:modified>
</cp:coreProperties>
</file>